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39" w:rsidRDefault="004A7D39" w:rsidP="00660C66">
      <w:pPr>
        <w:rPr>
          <w:rStyle w:val="Strong"/>
        </w:rPr>
      </w:pPr>
    </w:p>
    <w:p w:rsidR="001473BD" w:rsidRPr="000A5A3A" w:rsidRDefault="00C61F57" w:rsidP="00660C66">
      <w:pPr>
        <w:rPr>
          <w:rStyle w:val="Strong"/>
        </w:rPr>
      </w:pPr>
      <w:r>
        <w:rPr>
          <w:b/>
          <w:bCs/>
          <w:noProof/>
        </w:rPr>
        <mc:AlternateContent>
          <mc:Choice Requires="wps">
            <w:drawing>
              <wp:anchor distT="0" distB="0" distL="114300" distR="114300" simplePos="0" relativeHeight="251672576" behindDoc="0" locked="0" layoutInCell="1" allowOverlap="1" wp14:anchorId="43771177" wp14:editId="49E5E67C">
                <wp:simplePos x="0" y="0"/>
                <wp:positionH relativeFrom="column">
                  <wp:posOffset>0</wp:posOffset>
                </wp:positionH>
                <wp:positionV relativeFrom="paragraph">
                  <wp:posOffset>51435</wp:posOffset>
                </wp:positionV>
                <wp:extent cx="5800725" cy="1647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007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F57" w:rsidRDefault="00626837">
                            <w:r>
                              <w:rPr>
                                <w:noProof/>
                              </w:rPr>
                              <w:drawing>
                                <wp:inline distT="0" distB="0" distL="0" distR="0" wp14:anchorId="03ED479E" wp14:editId="40E119D1">
                                  <wp:extent cx="4962525" cy="409575"/>
                                  <wp:effectExtent l="0" t="0" r="9525" b="9525"/>
                                  <wp:docPr id="24" name="Picture 24" descr="C:\Users\TMays\AppData\Local\Microsoft\Windows\Temporary Internet Files\Content.Word\11NASD-014_California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ys\AppData\Local\Microsoft\Windows\Temporary Internet Files\Content.Word\11NASD-014_California_Hor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409575"/>
                                          </a:xfrm>
                                          <a:prstGeom prst="rect">
                                            <a:avLst/>
                                          </a:prstGeom>
                                          <a:noFill/>
                                          <a:ln>
                                            <a:noFill/>
                                          </a:ln>
                                        </pic:spPr>
                                      </pic:pic>
                                    </a:graphicData>
                                  </a:graphic>
                                </wp:inline>
                              </w:drawing>
                            </w:r>
                          </w:p>
                          <w:p w:rsidR="002F2ACD" w:rsidRPr="002F2ACD" w:rsidRDefault="00626837" w:rsidP="00626837">
                            <w:pPr>
                              <w:jc w:val="center"/>
                              <w:rPr>
                                <w:rFonts w:asciiTheme="minorHAnsi" w:hAnsiTheme="minorHAnsi"/>
                                <w:b/>
                                <w:sz w:val="28"/>
                                <w:szCs w:val="28"/>
                              </w:rPr>
                            </w:pPr>
                            <w:r w:rsidRPr="002F2ACD">
                              <w:rPr>
                                <w:rFonts w:asciiTheme="minorHAnsi" w:hAnsiTheme="minorHAnsi"/>
                                <w:b/>
                                <w:sz w:val="28"/>
                                <w:szCs w:val="28"/>
                              </w:rPr>
                              <w:t xml:space="preserve">Fact Sheet </w:t>
                            </w:r>
                            <w:r w:rsidR="002F2ACD" w:rsidRPr="002F2ACD">
                              <w:rPr>
                                <w:rFonts w:asciiTheme="minorHAnsi" w:hAnsiTheme="minorHAnsi"/>
                                <w:b/>
                                <w:sz w:val="28"/>
                                <w:szCs w:val="28"/>
                              </w:rPr>
                              <w:t>for School Leaders</w:t>
                            </w:r>
                          </w:p>
                          <w:p w:rsidR="00626837" w:rsidRPr="002F2ACD" w:rsidRDefault="00626837" w:rsidP="00626837">
                            <w:pPr>
                              <w:jc w:val="center"/>
                              <w:rPr>
                                <w:rFonts w:asciiTheme="minorHAnsi" w:hAnsiTheme="minorHAnsi"/>
                                <w:b/>
                                <w:i/>
                              </w:rPr>
                            </w:pPr>
                            <w:r w:rsidRPr="002F2ACD">
                              <w:rPr>
                                <w:rFonts w:asciiTheme="minorHAnsi" w:hAnsiTheme="minorHAnsi"/>
                                <w:b/>
                                <w:i/>
                              </w:rPr>
                              <w:t xml:space="preserve"> Career Technical Education </w:t>
                            </w:r>
                          </w:p>
                          <w:p w:rsidR="00626837" w:rsidRPr="002F2ACD" w:rsidRDefault="00626837" w:rsidP="00626837">
                            <w:pPr>
                              <w:jc w:val="center"/>
                              <w:rPr>
                                <w:rFonts w:asciiTheme="minorHAnsi" w:hAnsiTheme="minorHAnsi"/>
                                <w:b/>
                                <w:i/>
                              </w:rPr>
                            </w:pPr>
                            <w:r w:rsidRPr="002F2ACD">
                              <w:rPr>
                                <w:rFonts w:asciiTheme="minorHAnsi" w:hAnsiTheme="minorHAnsi"/>
                                <w:b/>
                                <w:i/>
                              </w:rPr>
                              <w:t>Supports Successful Local Control Accountability Plan Implementation</w:t>
                            </w:r>
                          </w:p>
                          <w:p w:rsidR="00B728E6" w:rsidRPr="002F2ACD" w:rsidRDefault="00B728E6" w:rsidP="00626837">
                            <w:pPr>
                              <w:jc w:val="center"/>
                              <w:rPr>
                                <w:rFonts w:asciiTheme="minorHAnsi" w:hAnsiTheme="minorHAnsi"/>
                                <w:b/>
                                <w:sz w:val="22"/>
                              </w:rPr>
                            </w:pPr>
                            <w:r w:rsidRPr="002F2ACD">
                              <w:rPr>
                                <w:rFonts w:asciiTheme="minorHAnsi" w:hAnsiTheme="minorHAnsi"/>
                              </w:rPr>
                              <w:t>--------------------------------</w:t>
                            </w:r>
                          </w:p>
                          <w:p w:rsidR="00626837" w:rsidRDefault="00626837" w:rsidP="00626837">
                            <w:pPr>
                              <w:jc w:val="center"/>
                              <w:rPr>
                                <w:rFonts w:asciiTheme="minorHAnsi" w:hAnsiTheme="minorHAnsi"/>
                                <w:b/>
                                <w:sz w:val="22"/>
                              </w:rPr>
                            </w:pPr>
                            <w:r w:rsidRPr="002F2ACD">
                              <w:rPr>
                                <w:rFonts w:asciiTheme="minorHAnsi" w:hAnsiTheme="minorHAnsi"/>
                                <w:b/>
                                <w:sz w:val="22"/>
                              </w:rPr>
                              <w:t>Career and College Transition Division/California Department of Education</w:t>
                            </w:r>
                          </w:p>
                          <w:p w:rsidR="00B82A70" w:rsidRPr="002F2ACD" w:rsidRDefault="00B82A70" w:rsidP="00626837">
                            <w:pPr>
                              <w:jc w:val="center"/>
                              <w:rPr>
                                <w:rFonts w:asciiTheme="minorHAnsi" w:hAnsiTheme="minorHAnsi"/>
                                <w:b/>
                                <w:sz w:val="22"/>
                              </w:rPr>
                            </w:pPr>
                            <w:r w:rsidRPr="00B82A70">
                              <w:rPr>
                                <w:rFonts w:asciiTheme="minorHAnsi" w:hAnsiTheme="minorHAnsi"/>
                                <w:b/>
                                <w:sz w:val="22"/>
                              </w:rPr>
                              <w:t>1430 N Street</w:t>
                            </w:r>
                            <w:r w:rsidR="00144CB8">
                              <w:rPr>
                                <w:rFonts w:asciiTheme="minorHAnsi" w:hAnsiTheme="minorHAnsi"/>
                                <w:b/>
                                <w:sz w:val="22"/>
                              </w:rPr>
                              <w:t>,</w:t>
                            </w:r>
                            <w:r w:rsidRPr="00B82A70">
                              <w:rPr>
                                <w:rFonts w:asciiTheme="minorHAnsi" w:hAnsiTheme="minorHAnsi"/>
                                <w:b/>
                                <w:sz w:val="22"/>
                              </w:rPr>
                              <w:t xml:space="preserve"> Sacramento, CA 95814 </w:t>
                            </w:r>
                            <w:hyperlink r:id="rId10" w:history="1">
                              <w:r w:rsidRPr="004204B9">
                                <w:rPr>
                                  <w:rStyle w:val="Hyperlink"/>
                                  <w:rFonts w:asciiTheme="minorHAnsi" w:hAnsiTheme="minorHAnsi"/>
                                  <w:b/>
                                  <w:sz w:val="22"/>
                                </w:rPr>
                                <w:t>cte@cde.ca.gov</w:t>
                              </w:r>
                            </w:hyperlink>
                            <w:r>
                              <w:rPr>
                                <w:rFonts w:asciiTheme="minorHAnsi" w:hAnsiTheme="minorHAnsi"/>
                                <w:b/>
                                <w:sz w:val="22"/>
                              </w:rPr>
                              <w:t xml:space="preserve"> </w:t>
                            </w:r>
                            <w:r w:rsidR="00144CB8">
                              <w:rPr>
                                <w:rFonts w:asciiTheme="minorHAnsi" w:hAnsiTheme="minorHAnsi"/>
                                <w:b/>
                                <w:sz w:val="22"/>
                              </w:rPr>
                              <w:t xml:space="preserve"> 916-445-2652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05pt;width:456.75pt;height:12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" fillcolor="white [3201]" strokeweight=".5pt">
                <v:textbox>
                  <w:txbxContent>
                    <w:p w:rsidR="00C61F57" w:rsidRDefault="00626837">
                      <w:r>
                        <w:rPr>
                          <w:noProof/>
                        </w:rPr>
                        <w:drawing>
                          <wp:inline distT="0" distB="0" distL="0" distR="0" wp14:anchorId="03ED479E" wp14:editId="40E119D1">
                            <wp:extent cx="4962525" cy="409575"/>
                            <wp:effectExtent l="0" t="0" r="9525" b="9525"/>
                            <wp:docPr id="24" name="Picture 24" descr="C:\Users\TMays\AppData\Local\Microsoft\Windows\Temporary Internet Files\Content.Word\11NASD-014_California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ys\AppData\Local\Microsoft\Windows\Temporary Internet Files\Content.Word\11NASD-014_California_Hor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409575"/>
                                    </a:xfrm>
                                    <a:prstGeom prst="rect">
                                      <a:avLst/>
                                    </a:prstGeom>
                                    <a:noFill/>
                                    <a:ln>
                                      <a:noFill/>
                                    </a:ln>
                                  </pic:spPr>
                                </pic:pic>
                              </a:graphicData>
                            </a:graphic>
                          </wp:inline>
                        </w:drawing>
                      </w:r>
                    </w:p>
                    <w:p w:rsidR="002F2ACD" w:rsidRPr="002F2ACD" w:rsidRDefault="00626837" w:rsidP="00626837">
                      <w:pPr>
                        <w:jc w:val="center"/>
                        <w:rPr>
                          <w:rFonts w:asciiTheme="minorHAnsi" w:hAnsiTheme="minorHAnsi"/>
                          <w:b/>
                          <w:sz w:val="28"/>
                          <w:szCs w:val="28"/>
                        </w:rPr>
                      </w:pPr>
                      <w:r w:rsidRPr="002F2ACD">
                        <w:rPr>
                          <w:rFonts w:asciiTheme="minorHAnsi" w:hAnsiTheme="minorHAnsi"/>
                          <w:b/>
                          <w:sz w:val="28"/>
                          <w:szCs w:val="28"/>
                        </w:rPr>
                        <w:t xml:space="preserve">Fact Sheet </w:t>
                      </w:r>
                      <w:r w:rsidR="002F2ACD" w:rsidRPr="002F2ACD">
                        <w:rPr>
                          <w:rFonts w:asciiTheme="minorHAnsi" w:hAnsiTheme="minorHAnsi"/>
                          <w:b/>
                          <w:sz w:val="28"/>
                          <w:szCs w:val="28"/>
                        </w:rPr>
                        <w:t>for School Leaders</w:t>
                      </w:r>
                    </w:p>
                    <w:p w:rsidR="00626837" w:rsidRPr="002F2ACD" w:rsidRDefault="00626837" w:rsidP="00626837">
                      <w:pPr>
                        <w:jc w:val="center"/>
                        <w:rPr>
                          <w:rFonts w:asciiTheme="minorHAnsi" w:hAnsiTheme="minorHAnsi"/>
                          <w:b/>
                          <w:i/>
                        </w:rPr>
                      </w:pPr>
                      <w:r w:rsidRPr="002F2ACD">
                        <w:rPr>
                          <w:rFonts w:asciiTheme="minorHAnsi" w:hAnsiTheme="minorHAnsi"/>
                          <w:b/>
                          <w:i/>
                        </w:rPr>
                        <w:t xml:space="preserve"> Career Technical Education </w:t>
                      </w:r>
                    </w:p>
                    <w:p w:rsidR="00626837" w:rsidRPr="002F2ACD" w:rsidRDefault="00626837" w:rsidP="00626837">
                      <w:pPr>
                        <w:jc w:val="center"/>
                        <w:rPr>
                          <w:rFonts w:asciiTheme="minorHAnsi" w:hAnsiTheme="minorHAnsi"/>
                          <w:b/>
                          <w:i/>
                        </w:rPr>
                      </w:pPr>
                      <w:r w:rsidRPr="002F2ACD">
                        <w:rPr>
                          <w:rFonts w:asciiTheme="minorHAnsi" w:hAnsiTheme="minorHAnsi"/>
                          <w:b/>
                          <w:i/>
                        </w:rPr>
                        <w:t>Supports Successful Local Control Accountability Plan Implementation</w:t>
                      </w:r>
                    </w:p>
                    <w:p w:rsidR="00B728E6" w:rsidRPr="002F2ACD" w:rsidRDefault="00B728E6" w:rsidP="00626837">
                      <w:pPr>
                        <w:jc w:val="center"/>
                        <w:rPr>
                          <w:rFonts w:asciiTheme="minorHAnsi" w:hAnsiTheme="minorHAnsi"/>
                          <w:b/>
                          <w:sz w:val="22"/>
                        </w:rPr>
                      </w:pPr>
                      <w:r w:rsidRPr="002F2ACD">
                        <w:rPr>
                          <w:rFonts w:asciiTheme="minorHAnsi" w:hAnsiTheme="minorHAnsi"/>
                        </w:rPr>
                        <w:t>--------------------------------</w:t>
                      </w:r>
                    </w:p>
                    <w:p w:rsidR="00626837" w:rsidRDefault="00626837" w:rsidP="00626837">
                      <w:pPr>
                        <w:jc w:val="center"/>
                        <w:rPr>
                          <w:rFonts w:asciiTheme="minorHAnsi" w:hAnsiTheme="minorHAnsi"/>
                          <w:b/>
                          <w:sz w:val="22"/>
                        </w:rPr>
                      </w:pPr>
                      <w:r w:rsidRPr="002F2ACD">
                        <w:rPr>
                          <w:rFonts w:asciiTheme="minorHAnsi" w:hAnsiTheme="minorHAnsi"/>
                          <w:b/>
                          <w:sz w:val="22"/>
                        </w:rPr>
                        <w:t>Career and College Transition Division/California Department of Education</w:t>
                      </w:r>
                    </w:p>
                    <w:p w:rsidR="00B82A70" w:rsidRPr="002F2ACD" w:rsidRDefault="00B82A70" w:rsidP="00626837">
                      <w:pPr>
                        <w:jc w:val="center"/>
                        <w:rPr>
                          <w:rFonts w:asciiTheme="minorHAnsi" w:hAnsiTheme="minorHAnsi"/>
                          <w:b/>
                          <w:sz w:val="22"/>
                        </w:rPr>
                      </w:pPr>
                      <w:r w:rsidRPr="00B82A70">
                        <w:rPr>
                          <w:rFonts w:asciiTheme="minorHAnsi" w:hAnsiTheme="minorHAnsi"/>
                          <w:b/>
                          <w:sz w:val="22"/>
                        </w:rPr>
                        <w:t>1430 N Street</w:t>
                      </w:r>
                      <w:r w:rsidR="00144CB8">
                        <w:rPr>
                          <w:rFonts w:asciiTheme="minorHAnsi" w:hAnsiTheme="minorHAnsi"/>
                          <w:b/>
                          <w:sz w:val="22"/>
                        </w:rPr>
                        <w:t>,</w:t>
                      </w:r>
                      <w:r w:rsidRPr="00B82A70">
                        <w:rPr>
                          <w:rFonts w:asciiTheme="minorHAnsi" w:hAnsiTheme="minorHAnsi"/>
                          <w:b/>
                          <w:sz w:val="22"/>
                        </w:rPr>
                        <w:t xml:space="preserve"> Sacramento, CA 95814 </w:t>
                      </w:r>
                      <w:hyperlink r:id="rId12" w:history="1">
                        <w:r w:rsidRPr="004204B9">
                          <w:rPr>
                            <w:rStyle w:val="Hyperlink"/>
                            <w:rFonts w:asciiTheme="minorHAnsi" w:hAnsiTheme="minorHAnsi"/>
                            <w:b/>
                            <w:sz w:val="22"/>
                          </w:rPr>
                          <w:t>cte@cde.ca.gov</w:t>
                        </w:r>
                      </w:hyperlink>
                      <w:r>
                        <w:rPr>
                          <w:rFonts w:asciiTheme="minorHAnsi" w:hAnsiTheme="minorHAnsi"/>
                          <w:b/>
                          <w:sz w:val="22"/>
                        </w:rPr>
                        <w:t xml:space="preserve"> </w:t>
                      </w:r>
                      <w:r w:rsidR="00144CB8">
                        <w:rPr>
                          <w:rFonts w:asciiTheme="minorHAnsi" w:hAnsiTheme="minorHAnsi"/>
                          <w:b/>
                          <w:sz w:val="22"/>
                        </w:rPr>
                        <w:t xml:space="preserve"> 916-445-2652</w:t>
                      </w:r>
                    </w:p>
                  </w:txbxContent>
                </v:textbox>
              </v:shape>
            </w:pict>
          </mc:Fallback>
        </mc:AlternateContent>
      </w:r>
    </w:p>
    <w:p w:rsidR="00224DED" w:rsidRDefault="00224DED" w:rsidP="00660C66">
      <w:pPr>
        <w:rPr>
          <w:rFonts w:cs="Arial"/>
          <w:b/>
          <w:sz w:val="28"/>
          <w:szCs w:val="28"/>
        </w:rPr>
      </w:pPr>
    </w:p>
    <w:p w:rsidR="00224DED" w:rsidRDefault="00224DED" w:rsidP="00660C66">
      <w:pPr>
        <w:rPr>
          <w:rFonts w:cs="Arial"/>
          <w:b/>
          <w:sz w:val="28"/>
          <w:szCs w:val="28"/>
        </w:rPr>
      </w:pPr>
    </w:p>
    <w:p w:rsidR="00224DED" w:rsidRDefault="00224DED" w:rsidP="00660C66">
      <w:pPr>
        <w:rPr>
          <w:rFonts w:cs="Arial"/>
          <w:b/>
          <w:sz w:val="28"/>
          <w:szCs w:val="28"/>
        </w:rPr>
      </w:pPr>
    </w:p>
    <w:p w:rsidR="00224DED" w:rsidRDefault="00224DED" w:rsidP="00660C66">
      <w:pPr>
        <w:rPr>
          <w:rFonts w:cs="Arial"/>
          <w:b/>
          <w:sz w:val="28"/>
          <w:szCs w:val="28"/>
        </w:rPr>
      </w:pPr>
    </w:p>
    <w:p w:rsidR="00224DED" w:rsidRDefault="00224DED" w:rsidP="00660C66">
      <w:pPr>
        <w:rPr>
          <w:rFonts w:cs="Arial"/>
          <w:b/>
          <w:sz w:val="28"/>
          <w:szCs w:val="28"/>
        </w:rPr>
      </w:pPr>
    </w:p>
    <w:p w:rsidR="00224DED" w:rsidRDefault="00224DED" w:rsidP="00660C66">
      <w:pPr>
        <w:rPr>
          <w:rFonts w:cs="Arial"/>
          <w:b/>
          <w:sz w:val="28"/>
          <w:szCs w:val="28"/>
        </w:rPr>
      </w:pPr>
    </w:p>
    <w:p w:rsidR="00AA751A" w:rsidRDefault="00AA751A" w:rsidP="00AA751A"/>
    <w:p w:rsidR="00AA751A" w:rsidRDefault="00AA751A" w:rsidP="00AA751A"/>
    <w:p w:rsidR="00A54B37" w:rsidRDefault="00A54B37" w:rsidP="0091670B">
      <w:pPr>
        <w:ind w:left="2160"/>
        <w:rPr>
          <w:rFonts w:cs="Arial"/>
          <w:sz w:val="22"/>
        </w:rPr>
        <w:sectPr w:rsidR="00A54B37" w:rsidSect="00012703">
          <w:footerReference w:type="default" r:id="rId13"/>
          <w:type w:val="continuous"/>
          <w:pgSz w:w="12240" w:h="15840"/>
          <w:pgMar w:top="288" w:right="1440" w:bottom="28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DE42B5" w:rsidRDefault="00DE42B5" w:rsidP="00AA751A"/>
    <w:p w:rsidR="00AA751A" w:rsidRPr="00F51B68" w:rsidRDefault="00AA751A" w:rsidP="00AA751A">
      <w:pPr>
        <w:rPr>
          <w:rFonts w:cs="Arial"/>
          <w:sz w:val="22"/>
        </w:rPr>
      </w:pPr>
      <w:r w:rsidRPr="00DE42B5">
        <w:t>C</w:t>
      </w:r>
      <w:r w:rsidRPr="00F51B68">
        <w:rPr>
          <w:rFonts w:cs="Arial"/>
          <w:sz w:val="22"/>
        </w:rPr>
        <w:t>areer technical education (CTE), is an important program that will help local educational agencies (LEA) meet new requirements outlined in Local Control Accountability Plans</w:t>
      </w:r>
      <w:r w:rsidR="00144CB8">
        <w:rPr>
          <w:rFonts w:cs="Arial"/>
          <w:sz w:val="22"/>
        </w:rPr>
        <w:t xml:space="preserve"> (LCAP)</w:t>
      </w:r>
      <w:r w:rsidRPr="00F51B68">
        <w:rPr>
          <w:rFonts w:cs="Arial"/>
          <w:sz w:val="22"/>
        </w:rPr>
        <w:t xml:space="preserve">. </w:t>
      </w:r>
    </w:p>
    <w:p w:rsidR="00AA751A" w:rsidRPr="00F51B68" w:rsidRDefault="00AA751A" w:rsidP="00AA751A">
      <w:pPr>
        <w:rPr>
          <w:rFonts w:cs="Arial"/>
          <w:sz w:val="22"/>
        </w:rPr>
      </w:pPr>
    </w:p>
    <w:p w:rsidR="00AA751A" w:rsidRPr="00F51B68" w:rsidRDefault="00AA751A" w:rsidP="00AA751A">
      <w:pPr>
        <w:rPr>
          <w:rFonts w:cs="Arial"/>
          <w:sz w:val="22"/>
        </w:rPr>
      </w:pPr>
      <w:r w:rsidRPr="00F51B68">
        <w:rPr>
          <w:rFonts w:cs="Arial"/>
          <w:sz w:val="22"/>
        </w:rPr>
        <w:t xml:space="preserve">Whether a school district or county office of education is considering maintaining an existing CTE program or starting a new one, administrators will find that CTE is a critical component of a broad and deep school curriculum that helps prepare all students to be career and college ready. </w:t>
      </w:r>
    </w:p>
    <w:p w:rsidR="00AA751A" w:rsidRPr="00F51B68" w:rsidRDefault="00AA751A" w:rsidP="00AA751A">
      <w:pPr>
        <w:rPr>
          <w:rFonts w:cs="Arial"/>
          <w:sz w:val="22"/>
        </w:rPr>
      </w:pPr>
    </w:p>
    <w:p w:rsidR="00AA751A" w:rsidRPr="00F51B68" w:rsidRDefault="00AA751A" w:rsidP="00AA751A">
      <w:pPr>
        <w:rPr>
          <w:rFonts w:cs="Arial"/>
          <w:sz w:val="22"/>
        </w:rPr>
      </w:pPr>
      <w:r w:rsidRPr="00F51B68">
        <w:rPr>
          <w:rFonts w:cs="Arial"/>
          <w:sz w:val="22"/>
        </w:rPr>
        <w:t xml:space="preserve">CTE practitioners and experts concur that the discipline provides relevance and real world content for academic studies while promoting teamwork and cooperative learning. It builds teacher, counselor, parent, business, and community engagement. </w:t>
      </w:r>
    </w:p>
    <w:p w:rsidR="00AA751A" w:rsidRPr="00F51B68" w:rsidRDefault="00AA751A" w:rsidP="00AA751A">
      <w:pPr>
        <w:rPr>
          <w:rFonts w:cs="Arial"/>
          <w:sz w:val="22"/>
        </w:rPr>
      </w:pPr>
    </w:p>
    <w:p w:rsidR="00AA751A" w:rsidRPr="00F51B68" w:rsidRDefault="000608EE" w:rsidP="00AA751A">
      <w:pPr>
        <w:rPr>
          <w:rFonts w:cs="Arial"/>
          <w:sz w:val="22"/>
        </w:rPr>
      </w:pPr>
      <w:r>
        <w:rPr>
          <w:rFonts w:cs="Arial"/>
          <w:sz w:val="22"/>
        </w:rPr>
        <w:t>I</w:t>
      </w:r>
      <w:r w:rsidR="00AA751A" w:rsidRPr="00F51B68">
        <w:rPr>
          <w:rFonts w:cs="Arial"/>
          <w:sz w:val="22"/>
        </w:rPr>
        <w:t xml:space="preserve">t </w:t>
      </w:r>
      <w:r>
        <w:rPr>
          <w:rFonts w:cs="Arial"/>
          <w:sz w:val="22"/>
        </w:rPr>
        <w:t xml:space="preserve">also </w:t>
      </w:r>
      <w:r w:rsidR="00AA751A" w:rsidRPr="00F51B68">
        <w:rPr>
          <w:rFonts w:cs="Arial"/>
          <w:sz w:val="22"/>
        </w:rPr>
        <w:t xml:space="preserve">encourages students to see a high school diploma and readiness for college or other postsecondary study as a foundation for the future rather than as an end in and of itself. </w:t>
      </w:r>
    </w:p>
    <w:p w:rsidR="00AA751A" w:rsidRDefault="00AA751A" w:rsidP="00AA751A">
      <w:pPr>
        <w:rPr>
          <w:rFonts w:cs="Arial"/>
          <w:sz w:val="22"/>
        </w:rPr>
      </w:pPr>
    </w:p>
    <w:p w:rsidR="00214DD7" w:rsidRDefault="009722DB" w:rsidP="00955D63">
      <w:pPr>
        <w:pStyle w:val="ListParagraph"/>
        <w:ind w:left="360"/>
        <w:rPr>
          <w:rFonts w:cs="Arial"/>
          <w:b/>
          <w:sz w:val="22"/>
          <w:u w:val="single"/>
        </w:rPr>
      </w:pPr>
      <w:r>
        <w:rPr>
          <w:rFonts w:cs="Arial"/>
          <w:noProof/>
          <w:sz w:val="22"/>
        </w:rPr>
        <w:drawing>
          <wp:anchor distT="0" distB="0" distL="114300" distR="114300" simplePos="0" relativeHeight="251676672" behindDoc="1" locked="0" layoutInCell="1" allowOverlap="1" wp14:anchorId="2368C0BA" wp14:editId="04B66A0E">
            <wp:simplePos x="0" y="0"/>
            <wp:positionH relativeFrom="column">
              <wp:posOffset>510540</wp:posOffset>
            </wp:positionH>
            <wp:positionV relativeFrom="paragraph">
              <wp:posOffset>140970</wp:posOffset>
            </wp:positionV>
            <wp:extent cx="1261872" cy="1261872"/>
            <wp:effectExtent l="190500" t="133350" r="186055" b="243205"/>
            <wp:wrapThrough wrapText="bothSides">
              <wp:wrapPolygon edited="0">
                <wp:start x="-652" y="-2283"/>
                <wp:lineTo x="-3261" y="-1631"/>
                <wp:lineTo x="-3261" y="22176"/>
                <wp:lineTo x="-1304" y="24459"/>
                <wp:lineTo x="326" y="25437"/>
                <wp:lineTo x="21198" y="25437"/>
                <wp:lineTo x="22502" y="24459"/>
                <wp:lineTo x="24459" y="19567"/>
                <wp:lineTo x="24459" y="3587"/>
                <wp:lineTo x="22176" y="-1304"/>
                <wp:lineTo x="22176" y="-2283"/>
                <wp:lineTo x="-652" y="-2283"/>
              </wp:wrapPolygon>
            </wp:wrapThrough>
            <wp:docPr id="8" name="Picture 8" descr="G:\Labels, Logos\LL_CDEColorHiRes1.25_1-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bels, Logos\LL_CDEColorHiRes1.25_1-26-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872" cy="1261872"/>
                    </a:xfrm>
                    <a:prstGeom prst="rect">
                      <a:avLst/>
                    </a:prstGeom>
                    <a:noFill/>
                    <a:ln cmpd="sng">
                      <a:solidFill>
                        <a:schemeClr val="tx1"/>
                      </a:solidFill>
                      <a:prstDash val="solid"/>
                    </a:ln>
                    <a:effectLst>
                      <a:outerShdw blurRad="165100" dist="50800" dir="5400000" sx="101000" sy="101000" algn="ctr" rotWithShape="0">
                        <a:srgbClr val="000000">
                          <a:alpha val="63000"/>
                        </a:srgbClr>
                      </a:outerShdw>
                    </a:effectLst>
                  </pic:spPr>
                </pic:pic>
              </a:graphicData>
            </a:graphic>
            <wp14:sizeRelH relativeFrom="page">
              <wp14:pctWidth>0</wp14:pctWidth>
            </wp14:sizeRelH>
            <wp14:sizeRelV relativeFrom="page">
              <wp14:pctHeight>0</wp14:pctHeight>
            </wp14:sizeRelV>
          </wp:anchor>
        </w:drawing>
      </w:r>
    </w:p>
    <w:p w:rsidR="00955D63" w:rsidRDefault="00955D63" w:rsidP="00955D63">
      <w:pPr>
        <w:pStyle w:val="ListParagraph"/>
        <w:ind w:left="360"/>
        <w:rPr>
          <w:rFonts w:cs="Arial"/>
          <w:b/>
          <w:sz w:val="22"/>
          <w:u w:val="single"/>
        </w:rPr>
      </w:pPr>
    </w:p>
    <w:p w:rsidR="00955D63" w:rsidRDefault="00955D63" w:rsidP="00955D63">
      <w:pPr>
        <w:pStyle w:val="ListParagraph"/>
        <w:ind w:left="360"/>
        <w:rPr>
          <w:rFonts w:cs="Arial"/>
          <w:b/>
          <w:sz w:val="22"/>
          <w:u w:val="single"/>
        </w:rPr>
      </w:pPr>
    </w:p>
    <w:p w:rsidR="009722DB" w:rsidRDefault="009722DB" w:rsidP="00955D63">
      <w:pPr>
        <w:pStyle w:val="ListParagraph"/>
        <w:ind w:left="360"/>
      </w:pPr>
    </w:p>
    <w:p w:rsidR="004403F3" w:rsidRDefault="004403F3" w:rsidP="00955D63">
      <w:pPr>
        <w:pStyle w:val="ListParagraph"/>
        <w:ind w:left="360"/>
      </w:pPr>
    </w:p>
    <w:p w:rsidR="009722DB" w:rsidRDefault="009722DB" w:rsidP="00955D63">
      <w:pPr>
        <w:pStyle w:val="ListParagraph"/>
        <w:ind w:left="360"/>
      </w:pPr>
    </w:p>
    <w:p w:rsidR="009722DB" w:rsidRDefault="009722DB" w:rsidP="00955D63">
      <w:pPr>
        <w:pStyle w:val="ListParagraph"/>
        <w:ind w:left="360"/>
      </w:pPr>
    </w:p>
    <w:p w:rsidR="004403F3" w:rsidRDefault="004403F3" w:rsidP="00955D63">
      <w:pPr>
        <w:pStyle w:val="ListParagraph"/>
        <w:ind w:left="360"/>
      </w:pPr>
    </w:p>
    <w:p w:rsidR="004403F3" w:rsidRDefault="004403F3" w:rsidP="00955D63">
      <w:pPr>
        <w:pStyle w:val="ListParagraph"/>
        <w:ind w:left="360"/>
      </w:pPr>
    </w:p>
    <w:p w:rsidR="004403F3" w:rsidRDefault="004403F3" w:rsidP="00955D63">
      <w:pPr>
        <w:pStyle w:val="ListParagraph"/>
        <w:ind w:left="360"/>
      </w:pPr>
    </w:p>
    <w:p w:rsidR="00955D63" w:rsidRDefault="0001401B" w:rsidP="00955D63">
      <w:pPr>
        <w:pStyle w:val="ListParagraph"/>
        <w:ind w:left="360"/>
        <w:rPr>
          <w:rFonts w:cs="Arial"/>
          <w:b/>
          <w:sz w:val="22"/>
          <w:u w:val="single"/>
        </w:rPr>
      </w:pPr>
      <w:hyperlink r:id="rId15" w:history="1">
        <w:r w:rsidR="00955D63" w:rsidRPr="001209F3">
          <w:rPr>
            <w:rStyle w:val="Hyperlink"/>
            <w:rFonts w:cs="Arial"/>
            <w:b/>
            <w:sz w:val="22"/>
          </w:rPr>
          <w:t>http://www.cde.ca.gov/ci/ct/</w:t>
        </w:r>
      </w:hyperlink>
    </w:p>
    <w:p w:rsidR="001D2DE6" w:rsidRDefault="001D2DE6" w:rsidP="00955D63">
      <w:pPr>
        <w:pStyle w:val="ListParagraph"/>
        <w:ind w:left="360"/>
        <w:rPr>
          <w:rFonts w:cs="Arial"/>
          <w:b/>
          <w:sz w:val="22"/>
          <w:u w:val="single"/>
        </w:rPr>
      </w:pPr>
    </w:p>
    <w:p w:rsidR="00955D63" w:rsidRPr="00955D63" w:rsidRDefault="00955D63" w:rsidP="00330034">
      <w:pPr>
        <w:pStyle w:val="ListParagraph"/>
        <w:ind w:left="0"/>
        <w:rPr>
          <w:rFonts w:cs="Arial"/>
          <w:b/>
          <w:sz w:val="22"/>
          <w:u w:val="single"/>
        </w:rPr>
      </w:pPr>
    </w:p>
    <w:p w:rsidR="00214DD7" w:rsidRDefault="00214DD7" w:rsidP="00214DD7">
      <w:pPr>
        <w:pStyle w:val="ListParagraph"/>
        <w:ind w:left="360"/>
        <w:rPr>
          <w:rFonts w:cs="Arial"/>
          <w:b/>
          <w:sz w:val="22"/>
          <w:u w:val="single"/>
        </w:rPr>
      </w:pPr>
    </w:p>
    <w:p w:rsidR="008571DB" w:rsidRDefault="008571DB" w:rsidP="00214DD7">
      <w:pPr>
        <w:pStyle w:val="ListParagraph"/>
        <w:ind w:left="360"/>
        <w:rPr>
          <w:rFonts w:cs="Arial"/>
          <w:sz w:val="22"/>
        </w:rPr>
      </w:pPr>
    </w:p>
    <w:p w:rsidR="008571DB" w:rsidRDefault="008571DB" w:rsidP="00214DD7">
      <w:pPr>
        <w:pStyle w:val="ListParagraph"/>
        <w:ind w:left="360"/>
        <w:rPr>
          <w:rFonts w:cs="Arial"/>
          <w:sz w:val="22"/>
        </w:rPr>
      </w:pPr>
    </w:p>
    <w:p w:rsidR="008571DB" w:rsidRDefault="00A01D1C" w:rsidP="008571DB">
      <w:pPr>
        <w:pStyle w:val="ListParagraph"/>
        <w:ind w:left="0"/>
        <w:rPr>
          <w:rFonts w:cs="Arial"/>
          <w:sz w:val="22"/>
        </w:rPr>
      </w:pPr>
      <w:r>
        <w:rPr>
          <w:rFonts w:cs="Arial"/>
          <w:noProof/>
          <w:sz w:val="22"/>
        </w:rPr>
        <w:drawing>
          <wp:inline distT="0" distB="0" distL="0" distR="0">
            <wp:extent cx="2743200" cy="1828800"/>
            <wp:effectExtent l="19050" t="19050" r="19050" b="19050"/>
            <wp:docPr id="4" name="Picture 4" descr="G:\PASO\Photo\Ba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SO\Photo\Baking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w="25400" cmpd="sng">
                      <a:solidFill>
                        <a:schemeClr val="accent1"/>
                      </a:solidFill>
                    </a:ln>
                  </pic:spPr>
                </pic:pic>
              </a:graphicData>
            </a:graphic>
          </wp:inline>
        </w:drawing>
      </w:r>
    </w:p>
    <w:p w:rsidR="008571DB" w:rsidRDefault="008571DB" w:rsidP="00214DD7">
      <w:pPr>
        <w:pStyle w:val="ListParagraph"/>
        <w:ind w:left="360"/>
        <w:rPr>
          <w:rFonts w:cs="Arial"/>
          <w:sz w:val="22"/>
        </w:rPr>
      </w:pPr>
      <w:bookmarkStart w:id="0" w:name="_GoBack"/>
      <w:bookmarkEnd w:id="0"/>
    </w:p>
    <w:p w:rsidR="008571DB" w:rsidRPr="008571DB" w:rsidRDefault="008571DB" w:rsidP="00214DD7">
      <w:pPr>
        <w:pStyle w:val="ListParagraph"/>
        <w:ind w:left="360"/>
        <w:rPr>
          <w:rFonts w:cs="Arial"/>
          <w:sz w:val="22"/>
        </w:rPr>
      </w:pPr>
      <w:r w:rsidRPr="008571DB">
        <w:rPr>
          <w:rFonts w:cs="Arial"/>
          <w:sz w:val="22"/>
        </w:rPr>
        <w:t>CTE provides proven models for assisting LEAs in offering programs and curricula consistent with the following LCAP requirements:</w:t>
      </w:r>
    </w:p>
    <w:p w:rsidR="008571DB" w:rsidRDefault="008571DB" w:rsidP="00214DD7">
      <w:pPr>
        <w:pStyle w:val="ListParagraph"/>
        <w:ind w:left="360"/>
        <w:rPr>
          <w:rFonts w:cs="Arial"/>
          <w:b/>
          <w:sz w:val="22"/>
          <w:u w:val="single"/>
        </w:rPr>
      </w:pPr>
    </w:p>
    <w:p w:rsidR="008571DB" w:rsidRDefault="008571DB" w:rsidP="00214DD7">
      <w:pPr>
        <w:pStyle w:val="ListParagraph"/>
        <w:ind w:left="360"/>
        <w:rPr>
          <w:rFonts w:cs="Arial"/>
          <w:b/>
          <w:sz w:val="22"/>
          <w:u w:val="single"/>
        </w:rPr>
      </w:pPr>
    </w:p>
    <w:p w:rsidR="00AA751A" w:rsidRPr="00F51B68" w:rsidRDefault="00AA751A" w:rsidP="00AA751A">
      <w:pPr>
        <w:pStyle w:val="ListParagraph"/>
        <w:numPr>
          <w:ilvl w:val="0"/>
          <w:numId w:val="16"/>
        </w:numPr>
        <w:rPr>
          <w:rFonts w:cs="Arial"/>
          <w:b/>
          <w:sz w:val="22"/>
          <w:u w:val="single"/>
        </w:rPr>
      </w:pPr>
      <w:r w:rsidRPr="00F51B68">
        <w:rPr>
          <w:rFonts w:cs="Arial"/>
          <w:b/>
          <w:sz w:val="22"/>
          <w:u w:val="single"/>
        </w:rPr>
        <w:t>CONDITIONS OF LEARNING</w:t>
      </w:r>
    </w:p>
    <w:p w:rsidR="00AA751A" w:rsidRPr="00F51B68" w:rsidRDefault="00AA751A" w:rsidP="00AA751A">
      <w:pPr>
        <w:pStyle w:val="ListParagraph"/>
        <w:rPr>
          <w:rFonts w:cs="Arial"/>
          <w:b/>
          <w:sz w:val="22"/>
          <w:u w:val="single"/>
        </w:rPr>
      </w:pPr>
    </w:p>
    <w:p w:rsidR="00AA751A" w:rsidRPr="00F51B68" w:rsidRDefault="00AA751A" w:rsidP="00AA751A">
      <w:pPr>
        <w:pStyle w:val="ListParagraph"/>
        <w:ind w:left="0"/>
        <w:rPr>
          <w:rFonts w:cs="Arial"/>
          <w:b/>
          <w:sz w:val="22"/>
          <w:u w:val="single"/>
        </w:rPr>
      </w:pPr>
      <w:r w:rsidRPr="00F51B68">
        <w:rPr>
          <w:rFonts w:cs="Arial"/>
          <w:b/>
          <w:sz w:val="22"/>
          <w:u w:val="single"/>
        </w:rPr>
        <w:t>Basic</w:t>
      </w:r>
    </w:p>
    <w:p w:rsidR="00AA751A" w:rsidRPr="00F51B68" w:rsidRDefault="00AA751A" w:rsidP="00AA751A">
      <w:pPr>
        <w:pStyle w:val="ListParagraph"/>
        <w:ind w:left="0"/>
        <w:rPr>
          <w:rFonts w:cs="Arial"/>
          <w:b/>
          <w:sz w:val="22"/>
          <w:u w:val="single"/>
        </w:rPr>
      </w:pPr>
    </w:p>
    <w:p w:rsidR="00AA751A" w:rsidRDefault="00AA751A" w:rsidP="009722DB">
      <w:pPr>
        <w:pStyle w:val="ListParagraph"/>
        <w:numPr>
          <w:ilvl w:val="0"/>
          <w:numId w:val="13"/>
        </w:numPr>
        <w:rPr>
          <w:rFonts w:cs="Arial"/>
          <w:sz w:val="22"/>
        </w:rPr>
      </w:pPr>
      <w:r w:rsidRPr="00F51B68">
        <w:rPr>
          <w:rFonts w:cs="Arial"/>
          <w:sz w:val="22"/>
        </w:rPr>
        <w:t>CTE provides students with real world 21</w:t>
      </w:r>
      <w:r w:rsidRPr="00F51B68">
        <w:rPr>
          <w:rFonts w:cs="Arial"/>
          <w:sz w:val="22"/>
          <w:vertAlign w:val="superscript"/>
        </w:rPr>
        <w:t>st</w:t>
      </w:r>
      <w:r w:rsidRPr="00F51B68">
        <w:rPr>
          <w:rFonts w:cs="Arial"/>
          <w:sz w:val="22"/>
        </w:rPr>
        <w:t xml:space="preserve"> century skills that make them career and college ready.</w:t>
      </w:r>
    </w:p>
    <w:p w:rsidR="00F51B68" w:rsidRDefault="00F51B68" w:rsidP="00F51B68">
      <w:pPr>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The State offers more than 10,000 CTE courses that meet a-g requirements necessary for entrance into the UC</w:t>
      </w:r>
      <w:r w:rsidR="000608EE">
        <w:rPr>
          <w:rFonts w:cs="Arial"/>
          <w:sz w:val="22"/>
        </w:rPr>
        <w:t xml:space="preserve"> colle</w:t>
      </w:r>
      <w:r w:rsidRPr="00F51B68">
        <w:rPr>
          <w:rFonts w:cs="Arial"/>
          <w:sz w:val="22"/>
        </w:rPr>
        <w:t>ge system.</w:t>
      </w:r>
    </w:p>
    <w:p w:rsidR="00AA751A" w:rsidRPr="00F51B68" w:rsidRDefault="00AA751A" w:rsidP="00AA751A">
      <w:pPr>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CTE provides students with not only career and academic skills, but soft skills that are needed for the modern workplace, such as: critical thinking; communication; team work; citizenship, integrity</w:t>
      </w:r>
      <w:r w:rsidR="000608EE">
        <w:rPr>
          <w:rFonts w:cs="Arial"/>
          <w:sz w:val="22"/>
        </w:rPr>
        <w:t>,</w:t>
      </w:r>
      <w:r w:rsidRPr="00F51B68">
        <w:rPr>
          <w:rFonts w:cs="Arial"/>
          <w:sz w:val="22"/>
        </w:rPr>
        <w:t xml:space="preserve"> and ethical leadership; research tools; creativity; and innovation.</w:t>
      </w:r>
    </w:p>
    <w:p w:rsidR="008571DB" w:rsidRPr="008571DB" w:rsidRDefault="008571DB" w:rsidP="008571DB">
      <w:pPr>
        <w:pStyle w:val="ListParagraph"/>
        <w:rPr>
          <w:rFonts w:cs="Arial"/>
          <w:sz w:val="22"/>
        </w:rPr>
      </w:pPr>
    </w:p>
    <w:p w:rsidR="008571DB" w:rsidRPr="008571DB" w:rsidRDefault="008571DB" w:rsidP="008571DB">
      <w:pPr>
        <w:pStyle w:val="ListParagraph"/>
        <w:rPr>
          <w:rFonts w:cs="Arial"/>
          <w:sz w:val="22"/>
        </w:rPr>
      </w:pPr>
    </w:p>
    <w:p w:rsidR="008571DB" w:rsidRDefault="008571DB" w:rsidP="008571DB">
      <w:pPr>
        <w:pStyle w:val="ListParagraph"/>
        <w:rPr>
          <w:rFonts w:cs="Arial"/>
          <w:sz w:val="22"/>
        </w:rPr>
      </w:pPr>
    </w:p>
    <w:p w:rsidR="008571DB" w:rsidRDefault="008571DB" w:rsidP="008571DB">
      <w:pPr>
        <w:pStyle w:val="ListParagraph"/>
        <w:rPr>
          <w:rFonts w:cs="Arial"/>
          <w:sz w:val="22"/>
        </w:rPr>
      </w:pPr>
    </w:p>
    <w:p w:rsidR="008571DB" w:rsidRDefault="008571DB" w:rsidP="008571DB">
      <w:pPr>
        <w:pStyle w:val="ListParagraph"/>
        <w:rPr>
          <w:rFonts w:cs="Arial"/>
          <w:sz w:val="22"/>
        </w:rPr>
      </w:pPr>
    </w:p>
    <w:p w:rsidR="008571DB" w:rsidRDefault="008571DB" w:rsidP="008571DB">
      <w:pPr>
        <w:pStyle w:val="ListParagraph"/>
        <w:rPr>
          <w:rFonts w:cs="Arial"/>
          <w:sz w:val="22"/>
        </w:rPr>
      </w:pPr>
    </w:p>
    <w:p w:rsidR="008571DB" w:rsidRPr="008571DB" w:rsidRDefault="008571DB" w:rsidP="008571DB">
      <w:pPr>
        <w:pStyle w:val="ListParagraph"/>
        <w:numPr>
          <w:ilvl w:val="0"/>
          <w:numId w:val="13"/>
        </w:numPr>
        <w:rPr>
          <w:rFonts w:cs="Arial"/>
          <w:sz w:val="22"/>
        </w:rPr>
      </w:pPr>
      <w:r w:rsidRPr="008571DB">
        <w:rPr>
          <w:rFonts w:cs="Arial"/>
          <w:sz w:val="22"/>
        </w:rPr>
        <w:t>CTE helps satisfy the California Education Code (Ed Code) language encouraging districts to provide all pupils with a rigorous academic curriculum that integrates academic and career skills, incorporates applied learning in all disciplines, and prepares all pupils for high school graduation and career entry.</w:t>
      </w:r>
    </w:p>
    <w:p w:rsidR="00135E70" w:rsidRDefault="00135E70" w:rsidP="00AA751A">
      <w:pPr>
        <w:rPr>
          <w:rFonts w:cs="Arial"/>
          <w:b/>
          <w:sz w:val="22"/>
          <w:u w:val="single"/>
        </w:rPr>
      </w:pPr>
    </w:p>
    <w:p w:rsidR="00AA751A" w:rsidRPr="00F51B68" w:rsidRDefault="00AA751A" w:rsidP="00AA751A">
      <w:pPr>
        <w:rPr>
          <w:rFonts w:cs="Arial"/>
          <w:b/>
          <w:sz w:val="22"/>
          <w:u w:val="single"/>
        </w:rPr>
      </w:pPr>
      <w:r w:rsidRPr="00F51B68">
        <w:rPr>
          <w:rFonts w:cs="Arial"/>
          <w:b/>
          <w:sz w:val="22"/>
          <w:u w:val="single"/>
        </w:rPr>
        <w:t>State Standards Implementation</w:t>
      </w:r>
    </w:p>
    <w:p w:rsidR="00AA751A" w:rsidRPr="00F51B68" w:rsidRDefault="00AA751A" w:rsidP="00AA751A">
      <w:pPr>
        <w:rPr>
          <w:rFonts w:cs="Arial"/>
          <w:b/>
          <w:sz w:val="22"/>
          <w:u w:val="single"/>
        </w:rPr>
      </w:pPr>
    </w:p>
    <w:p w:rsidR="00AA751A" w:rsidRPr="00F51B68" w:rsidRDefault="00AA751A" w:rsidP="00AA751A">
      <w:pPr>
        <w:pStyle w:val="ListParagraph"/>
        <w:numPr>
          <w:ilvl w:val="0"/>
          <w:numId w:val="17"/>
        </w:numPr>
        <w:rPr>
          <w:rFonts w:cs="Arial"/>
          <w:sz w:val="22"/>
        </w:rPr>
      </w:pPr>
      <w:r w:rsidRPr="00F51B68">
        <w:rPr>
          <w:rFonts w:cs="Arial"/>
          <w:sz w:val="22"/>
        </w:rPr>
        <w:t xml:space="preserve">CTE courses help </w:t>
      </w:r>
      <w:r w:rsidR="000608EE">
        <w:rPr>
          <w:rFonts w:cs="Arial"/>
          <w:sz w:val="22"/>
        </w:rPr>
        <w:t xml:space="preserve">LEAs </w:t>
      </w:r>
      <w:r w:rsidRPr="00F51B68">
        <w:rPr>
          <w:rFonts w:cs="Arial"/>
          <w:sz w:val="22"/>
        </w:rPr>
        <w:t xml:space="preserve">comply with </w:t>
      </w:r>
      <w:r w:rsidR="000608EE">
        <w:rPr>
          <w:rFonts w:cs="Arial"/>
          <w:i/>
          <w:sz w:val="22"/>
        </w:rPr>
        <w:t>Ed Code</w:t>
      </w:r>
      <w:r w:rsidRPr="00F51B68">
        <w:rPr>
          <w:rFonts w:cs="Arial"/>
          <w:sz w:val="22"/>
        </w:rPr>
        <w:t xml:space="preserve"> requiring a course of study that provides an opportunity for those pupils to attain entry-level employment skills in business or industry upon graduation from high school.</w:t>
      </w:r>
    </w:p>
    <w:p w:rsidR="00AA751A" w:rsidRPr="00F51B68" w:rsidRDefault="00AA751A" w:rsidP="00AA751A">
      <w:pPr>
        <w:rPr>
          <w:rFonts w:cs="Arial"/>
          <w:sz w:val="22"/>
        </w:rPr>
      </w:pPr>
    </w:p>
    <w:p w:rsidR="00AA751A" w:rsidRDefault="00AA751A" w:rsidP="00AA751A">
      <w:pPr>
        <w:pStyle w:val="ListParagraph"/>
        <w:numPr>
          <w:ilvl w:val="0"/>
          <w:numId w:val="17"/>
        </w:numPr>
        <w:rPr>
          <w:rFonts w:cs="Arial"/>
          <w:sz w:val="22"/>
        </w:rPr>
      </w:pPr>
      <w:r w:rsidRPr="00F51B68">
        <w:rPr>
          <w:rFonts w:cs="Arial"/>
          <w:sz w:val="22"/>
        </w:rPr>
        <w:t xml:space="preserve">All CTE programs are prepared in line with CTE Model Curriculum Standards and newly instituted Common Core </w:t>
      </w:r>
      <w:r w:rsidR="000608EE">
        <w:rPr>
          <w:rFonts w:cs="Arial"/>
          <w:sz w:val="22"/>
        </w:rPr>
        <w:t xml:space="preserve">State Standards </w:t>
      </w:r>
      <w:r w:rsidRPr="00F51B68">
        <w:rPr>
          <w:rFonts w:cs="Arial"/>
          <w:sz w:val="22"/>
        </w:rPr>
        <w:t>requirements.</w:t>
      </w:r>
    </w:p>
    <w:p w:rsidR="00AA751A" w:rsidRPr="00F51B68" w:rsidRDefault="00AA751A" w:rsidP="00AA751A">
      <w:pPr>
        <w:rPr>
          <w:rFonts w:cs="Arial"/>
          <w:b/>
          <w:sz w:val="22"/>
          <w:u w:val="single"/>
        </w:rPr>
      </w:pPr>
    </w:p>
    <w:p w:rsidR="00AA751A" w:rsidRPr="00F51B68" w:rsidRDefault="00AA751A" w:rsidP="00AA751A">
      <w:pPr>
        <w:rPr>
          <w:rFonts w:cs="Arial"/>
          <w:b/>
          <w:sz w:val="22"/>
          <w:u w:val="single"/>
        </w:rPr>
      </w:pPr>
      <w:r w:rsidRPr="00F51B68">
        <w:rPr>
          <w:rFonts w:cs="Arial"/>
          <w:b/>
          <w:sz w:val="22"/>
          <w:u w:val="single"/>
        </w:rPr>
        <w:t>Course Access</w:t>
      </w:r>
    </w:p>
    <w:p w:rsidR="00AA751A" w:rsidRPr="00F51B68" w:rsidRDefault="00AA751A" w:rsidP="00AA751A">
      <w:pPr>
        <w:rPr>
          <w:rFonts w:cs="Arial"/>
          <w:b/>
          <w:sz w:val="22"/>
          <w:u w:val="single"/>
        </w:rPr>
      </w:pPr>
    </w:p>
    <w:p w:rsidR="00AA751A" w:rsidRPr="00F51B68" w:rsidRDefault="00AA751A" w:rsidP="00AA751A">
      <w:pPr>
        <w:pStyle w:val="ListParagraph"/>
        <w:numPr>
          <w:ilvl w:val="0"/>
          <w:numId w:val="18"/>
        </w:numPr>
        <w:rPr>
          <w:rFonts w:cs="Arial"/>
          <w:sz w:val="22"/>
        </w:rPr>
      </w:pPr>
      <w:r w:rsidRPr="00F51B68">
        <w:rPr>
          <w:rFonts w:cs="Arial"/>
          <w:sz w:val="22"/>
        </w:rPr>
        <w:t>CTE courses help school districts comply with education code requirements to prepare youth for gainful employment in the occupations and in the numbers that are appropriate to the personnel needs of the state and community served.</w:t>
      </w:r>
    </w:p>
    <w:p w:rsidR="00AA751A" w:rsidRPr="00F51B68" w:rsidRDefault="00AA751A" w:rsidP="00AA751A">
      <w:pPr>
        <w:rPr>
          <w:rFonts w:cs="Arial"/>
          <w:sz w:val="22"/>
        </w:rPr>
      </w:pPr>
    </w:p>
    <w:p w:rsidR="00AA751A" w:rsidRPr="00F51B68" w:rsidRDefault="00AA751A" w:rsidP="00AA751A">
      <w:pPr>
        <w:pStyle w:val="ListParagraph"/>
        <w:numPr>
          <w:ilvl w:val="0"/>
          <w:numId w:val="18"/>
        </w:numPr>
        <w:rPr>
          <w:rFonts w:cs="Arial"/>
          <w:sz w:val="22"/>
        </w:rPr>
      </w:pPr>
      <w:r w:rsidRPr="00F51B68">
        <w:rPr>
          <w:rFonts w:cs="Arial"/>
          <w:sz w:val="22"/>
        </w:rPr>
        <w:t>CTE courses offer articulation agreements and dual enrollment options for schools to partner with local colleges so students have an early awareness that college is a possibility.</w:t>
      </w:r>
    </w:p>
    <w:p w:rsidR="00AA751A" w:rsidRPr="00F51B68" w:rsidRDefault="00AA751A" w:rsidP="00AA751A">
      <w:pPr>
        <w:rPr>
          <w:rFonts w:cs="Arial"/>
          <w:sz w:val="22"/>
        </w:rPr>
      </w:pPr>
    </w:p>
    <w:p w:rsidR="008571DB" w:rsidRDefault="00AA751A" w:rsidP="008571DB">
      <w:pPr>
        <w:pStyle w:val="ListParagraph"/>
        <w:numPr>
          <w:ilvl w:val="0"/>
          <w:numId w:val="18"/>
        </w:numPr>
        <w:rPr>
          <w:rFonts w:cs="Arial"/>
          <w:sz w:val="22"/>
        </w:rPr>
      </w:pPr>
      <w:r w:rsidRPr="008571DB">
        <w:rPr>
          <w:rFonts w:cs="Arial"/>
          <w:sz w:val="22"/>
        </w:rPr>
        <w:t>CTE brings specialized instructors into class, and offers industry-specific courses so students get an intimate understanding of what it is like to work in that industry sector.</w:t>
      </w:r>
    </w:p>
    <w:p w:rsidR="008571DB" w:rsidRDefault="008571DB" w:rsidP="008571DB">
      <w:pPr>
        <w:pStyle w:val="ListParagraph"/>
        <w:ind w:left="630"/>
        <w:rPr>
          <w:rFonts w:cs="Arial"/>
          <w:sz w:val="22"/>
        </w:rPr>
      </w:pPr>
    </w:p>
    <w:p w:rsidR="008571DB" w:rsidRPr="008571DB" w:rsidRDefault="008571DB" w:rsidP="008571DB">
      <w:pPr>
        <w:pStyle w:val="ListParagraph"/>
        <w:numPr>
          <w:ilvl w:val="0"/>
          <w:numId w:val="18"/>
        </w:numPr>
        <w:rPr>
          <w:rFonts w:cs="Arial"/>
          <w:sz w:val="22"/>
        </w:rPr>
      </w:pPr>
      <w:r w:rsidRPr="008571DB">
        <w:rPr>
          <w:rFonts w:cs="Arial"/>
          <w:sz w:val="22"/>
        </w:rPr>
        <w:t>CTE provides more creative opportunities for students to participate in online blended courses and modules focused on given industry sectors.</w:t>
      </w:r>
    </w:p>
    <w:p w:rsidR="008571DB" w:rsidRDefault="008571DB" w:rsidP="008571DB">
      <w:pPr>
        <w:pStyle w:val="ListParagraph"/>
        <w:ind w:left="630"/>
        <w:rPr>
          <w:rFonts w:cs="Arial"/>
          <w:sz w:val="22"/>
        </w:rPr>
      </w:pPr>
    </w:p>
    <w:p w:rsidR="008571DB" w:rsidRDefault="008571DB" w:rsidP="008571DB">
      <w:pPr>
        <w:pStyle w:val="ListParagraph"/>
        <w:ind w:left="0"/>
        <w:rPr>
          <w:rFonts w:cs="Arial"/>
          <w:sz w:val="22"/>
        </w:rPr>
      </w:pPr>
    </w:p>
    <w:p w:rsidR="008571DB" w:rsidRDefault="008571DB" w:rsidP="008571DB">
      <w:pPr>
        <w:pStyle w:val="ListParagraph"/>
        <w:ind w:left="0"/>
        <w:rPr>
          <w:rFonts w:cs="Arial"/>
          <w:sz w:val="22"/>
        </w:rPr>
      </w:pPr>
      <w:r>
        <w:rPr>
          <w:rFonts w:cs="Arial"/>
          <w:noProof/>
          <w:sz w:val="22"/>
        </w:rPr>
        <w:drawing>
          <wp:inline distT="0" distB="0" distL="0" distR="0" wp14:anchorId="5A38962D" wp14:editId="47E6294B">
            <wp:extent cx="2743200" cy="2046191"/>
            <wp:effectExtent l="19050" t="19050" r="19050" b="11430"/>
            <wp:docPr id="5" name="Picture 5" descr="G:\PASO\Photo\SanDiego\Women In Engineering Day Gum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SO\Photo\SanDiego\Women In Engineering Day Gumdro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2046191"/>
                    </a:xfrm>
                    <a:prstGeom prst="rect">
                      <a:avLst/>
                    </a:prstGeom>
                    <a:noFill/>
                    <a:ln w="25400" cmpd="sng">
                      <a:solidFill>
                        <a:schemeClr val="accent6"/>
                      </a:solidFill>
                    </a:ln>
                    <a:effectLst>
                      <a:innerShdw blurRad="63500" dist="50800" dir="5400000">
                        <a:schemeClr val="accent1">
                          <a:alpha val="50000"/>
                        </a:schemeClr>
                      </a:innerShdw>
                    </a:effectLst>
                  </pic:spPr>
                </pic:pic>
              </a:graphicData>
            </a:graphic>
          </wp:inline>
        </w:drawing>
      </w:r>
    </w:p>
    <w:p w:rsidR="00330034" w:rsidRDefault="00330034" w:rsidP="00F017ED">
      <w:pPr>
        <w:pStyle w:val="ListParagraph"/>
        <w:ind w:left="0"/>
        <w:rPr>
          <w:rFonts w:cs="Arial"/>
          <w:noProof/>
          <w:sz w:val="22"/>
        </w:rPr>
      </w:pPr>
    </w:p>
    <w:p w:rsidR="00F51B68" w:rsidRPr="00F51B68" w:rsidRDefault="00F51B68" w:rsidP="00F51B68">
      <w:pPr>
        <w:pStyle w:val="ListParagraph"/>
        <w:rPr>
          <w:rFonts w:cs="Arial"/>
          <w:sz w:val="22"/>
        </w:rPr>
      </w:pPr>
    </w:p>
    <w:p w:rsidR="00AA751A" w:rsidRPr="00F51B68" w:rsidRDefault="00AA751A" w:rsidP="00AA751A">
      <w:pPr>
        <w:pStyle w:val="ListParagraph"/>
        <w:numPr>
          <w:ilvl w:val="0"/>
          <w:numId w:val="16"/>
        </w:numPr>
        <w:rPr>
          <w:rFonts w:cs="Arial"/>
          <w:b/>
          <w:sz w:val="22"/>
          <w:u w:val="single"/>
        </w:rPr>
      </w:pPr>
      <w:r w:rsidRPr="00F51B68">
        <w:rPr>
          <w:rFonts w:cs="Arial"/>
          <w:b/>
          <w:sz w:val="22"/>
          <w:u w:val="single"/>
        </w:rPr>
        <w:t>PUPIL OUTCOMES</w:t>
      </w:r>
    </w:p>
    <w:p w:rsidR="00AA751A" w:rsidRPr="00F51B68" w:rsidRDefault="00AA751A" w:rsidP="00AA751A">
      <w:pPr>
        <w:rPr>
          <w:rFonts w:cs="Arial"/>
          <w:sz w:val="22"/>
        </w:rPr>
      </w:pPr>
    </w:p>
    <w:p w:rsidR="00AA751A" w:rsidRPr="00F51B68" w:rsidRDefault="00AA751A" w:rsidP="00AA751A">
      <w:pPr>
        <w:rPr>
          <w:rFonts w:cs="Arial"/>
          <w:b/>
          <w:sz w:val="22"/>
          <w:u w:val="single"/>
        </w:rPr>
      </w:pPr>
      <w:r w:rsidRPr="00F51B68">
        <w:rPr>
          <w:rFonts w:cs="Arial"/>
          <w:b/>
          <w:sz w:val="22"/>
          <w:u w:val="single"/>
        </w:rPr>
        <w:t>Pupil Achievement</w:t>
      </w:r>
    </w:p>
    <w:p w:rsidR="00AA751A" w:rsidRPr="00F51B68" w:rsidRDefault="00AA751A" w:rsidP="00AA751A">
      <w:pPr>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Students in California Partnership Academies (CPA) were much more likely than their high school peers to complete academic a-g courses needed for admission to California’s public colleges and universities</w:t>
      </w:r>
      <w:r w:rsidR="000608EE">
        <w:rPr>
          <w:rFonts w:cs="Arial"/>
          <w:sz w:val="22"/>
        </w:rPr>
        <w:t>—</w:t>
      </w:r>
      <w:r w:rsidRPr="00F51B68">
        <w:rPr>
          <w:rFonts w:cs="Arial"/>
          <w:sz w:val="22"/>
        </w:rPr>
        <w:t xml:space="preserve"> </w:t>
      </w:r>
      <w:r w:rsidR="000608EE">
        <w:rPr>
          <w:rFonts w:cs="Arial"/>
          <w:sz w:val="22"/>
        </w:rPr>
        <w:br/>
      </w:r>
      <w:r w:rsidR="00FF2BFB">
        <w:rPr>
          <w:rFonts w:cs="Arial"/>
          <w:sz w:val="22"/>
        </w:rPr>
        <w:t>57 percent to 36</w:t>
      </w:r>
      <w:r w:rsidRPr="00F51B68">
        <w:rPr>
          <w:rFonts w:cs="Arial"/>
          <w:sz w:val="22"/>
        </w:rPr>
        <w:t xml:space="preserve"> percent.</w:t>
      </w:r>
    </w:p>
    <w:p w:rsidR="00AA751A" w:rsidRPr="00F51B68" w:rsidRDefault="00AA751A" w:rsidP="00AA751A">
      <w:pPr>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Attendance more than doubled the rate of college entrance for minority students and increased college enrollment rates for all student populations compared to local and state student populations.</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 xml:space="preserve">Students who complete a rigorous academic core coupled with a career concentration have test scores that equal or exceed “college prep” students; are more likely to pursue postsecondary education; have a higher grade point average </w:t>
      </w:r>
      <w:r w:rsidR="000608EE">
        <w:rPr>
          <w:rFonts w:cs="Arial"/>
          <w:sz w:val="22"/>
        </w:rPr>
        <w:t xml:space="preserve">(GPA) </w:t>
      </w:r>
      <w:r w:rsidRPr="00F51B68">
        <w:rPr>
          <w:rFonts w:cs="Arial"/>
          <w:sz w:val="22"/>
        </w:rPr>
        <w:t>in college; and</w:t>
      </w:r>
      <w:r w:rsidR="000608EE">
        <w:rPr>
          <w:rFonts w:cs="Arial"/>
          <w:sz w:val="22"/>
        </w:rPr>
        <w:t xml:space="preserve"> are</w:t>
      </w:r>
      <w:r w:rsidRPr="00F51B68">
        <w:rPr>
          <w:rFonts w:cs="Arial"/>
          <w:sz w:val="22"/>
        </w:rPr>
        <w:t xml:space="preserve"> less likely to drop out the first year of college.</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80 percent of students taking a college prep academic curriculum with rigorous CTE met college and career readiness goals, compared to 63 percent of students who did not take CTE.</w:t>
      </w:r>
    </w:p>
    <w:p w:rsidR="00AA751A" w:rsidRDefault="00AA751A" w:rsidP="00AA751A">
      <w:pPr>
        <w:pStyle w:val="ListParagraph"/>
        <w:rPr>
          <w:rFonts w:cs="Arial"/>
          <w:sz w:val="22"/>
        </w:rPr>
      </w:pPr>
    </w:p>
    <w:p w:rsidR="0091670B" w:rsidRPr="00F51B68" w:rsidRDefault="0091670B" w:rsidP="00AA751A">
      <w:pPr>
        <w:pStyle w:val="ListParagraph"/>
        <w:rPr>
          <w:rFonts w:cs="Arial"/>
          <w:sz w:val="22"/>
        </w:rPr>
      </w:pPr>
    </w:p>
    <w:p w:rsidR="0091670B" w:rsidRDefault="0091670B" w:rsidP="0091670B">
      <w:pPr>
        <w:pStyle w:val="ListParagraph"/>
        <w:ind w:left="360"/>
        <w:rPr>
          <w:rFonts w:cs="Arial"/>
          <w:sz w:val="22"/>
        </w:rPr>
      </w:pPr>
    </w:p>
    <w:p w:rsidR="0091670B" w:rsidRDefault="0091670B" w:rsidP="0091670B">
      <w:pPr>
        <w:pStyle w:val="ListParagraph"/>
        <w:ind w:left="360"/>
        <w:rPr>
          <w:rFonts w:cs="Arial"/>
          <w:noProof/>
          <w:sz w:val="22"/>
        </w:rPr>
      </w:pPr>
    </w:p>
    <w:p w:rsidR="00330034" w:rsidRDefault="00330034" w:rsidP="0091670B">
      <w:pPr>
        <w:pStyle w:val="ListParagraph"/>
        <w:ind w:left="360"/>
        <w:rPr>
          <w:rFonts w:cs="Arial"/>
          <w:noProof/>
          <w:sz w:val="22"/>
        </w:rPr>
      </w:pPr>
    </w:p>
    <w:p w:rsidR="00214DD7" w:rsidRDefault="00214DD7" w:rsidP="0091670B">
      <w:pPr>
        <w:pStyle w:val="ListParagraph"/>
        <w:ind w:left="360"/>
        <w:rPr>
          <w:rFonts w:cs="Arial"/>
          <w:sz w:val="22"/>
        </w:rPr>
      </w:pPr>
    </w:p>
    <w:p w:rsidR="008571DB" w:rsidRDefault="008571DB" w:rsidP="0091670B">
      <w:pPr>
        <w:pStyle w:val="ListParagraph"/>
        <w:ind w:left="360"/>
        <w:rPr>
          <w:rFonts w:cs="Arial"/>
          <w:sz w:val="22"/>
        </w:rPr>
      </w:pPr>
    </w:p>
    <w:p w:rsidR="0091670B" w:rsidRDefault="0091670B" w:rsidP="0091670B">
      <w:pPr>
        <w:pStyle w:val="ListParagraph"/>
        <w:ind w:left="360"/>
        <w:rPr>
          <w:rFonts w:cs="Arial"/>
          <w:sz w:val="22"/>
        </w:rPr>
      </w:pPr>
      <w:r>
        <w:rPr>
          <w:rFonts w:cs="Arial"/>
          <w:noProof/>
          <w:sz w:val="22"/>
        </w:rPr>
        <w:drawing>
          <wp:inline distT="0" distB="0" distL="0" distR="0" wp14:anchorId="3EDFF1E2" wp14:editId="304F3030">
            <wp:extent cx="2743200" cy="18288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a:ln w="25400">
                      <a:solidFill>
                        <a:schemeClr val="accent3"/>
                      </a:solidFill>
                    </a:ln>
                  </pic:spPr>
                </pic:pic>
              </a:graphicData>
            </a:graphic>
          </wp:inline>
        </w:drawing>
      </w:r>
    </w:p>
    <w:p w:rsidR="0091670B" w:rsidRPr="0091670B" w:rsidRDefault="0091670B" w:rsidP="0091670B">
      <w:pPr>
        <w:pStyle w:val="ListParagraph"/>
        <w:rPr>
          <w:rFonts w:cs="Arial"/>
          <w:sz w:val="22"/>
        </w:rPr>
      </w:pPr>
    </w:p>
    <w:p w:rsidR="00DE42B5" w:rsidRDefault="00DE42B5" w:rsidP="00DE42B5">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Average national graduation rate in 2008 for students concentrating in CTE was 90 percent; other students, 75 percent.</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CPA students beat state averages in passing the C</w:t>
      </w:r>
      <w:r w:rsidR="000608EE">
        <w:rPr>
          <w:rFonts w:cs="Arial"/>
          <w:sz w:val="22"/>
        </w:rPr>
        <w:t xml:space="preserve">alifornia </w:t>
      </w:r>
      <w:r w:rsidRPr="00F51B68">
        <w:rPr>
          <w:rFonts w:cs="Arial"/>
          <w:sz w:val="22"/>
        </w:rPr>
        <w:t>high school exit exam.</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CPA seniors graduate on</w:t>
      </w:r>
      <w:r w:rsidR="000608EE">
        <w:rPr>
          <w:rFonts w:cs="Arial"/>
          <w:sz w:val="22"/>
        </w:rPr>
        <w:t xml:space="preserve"> time at a rate of 95 percent — </w:t>
      </w:r>
      <w:r w:rsidRPr="00F51B68">
        <w:rPr>
          <w:rFonts w:cs="Arial"/>
          <w:sz w:val="22"/>
        </w:rPr>
        <w:t>10 percent higher than the state average.</w:t>
      </w:r>
    </w:p>
    <w:p w:rsidR="00AA751A" w:rsidRPr="00F51B68" w:rsidRDefault="00AA751A" w:rsidP="00AA751A">
      <w:pPr>
        <w:pStyle w:val="ListParagraph"/>
        <w:rPr>
          <w:rFonts w:cs="Arial"/>
          <w:sz w:val="22"/>
        </w:rPr>
      </w:pPr>
    </w:p>
    <w:p w:rsidR="00DD3DF9" w:rsidRDefault="00DD3DF9" w:rsidP="00AA751A">
      <w:pPr>
        <w:pStyle w:val="ListParagraph"/>
        <w:ind w:left="0"/>
        <w:rPr>
          <w:rFonts w:cs="Arial"/>
          <w:b/>
          <w:sz w:val="22"/>
          <w:u w:val="single"/>
        </w:rPr>
      </w:pPr>
    </w:p>
    <w:p w:rsidR="00AA751A" w:rsidRPr="00F51B68" w:rsidRDefault="00AA751A" w:rsidP="00AA751A">
      <w:pPr>
        <w:pStyle w:val="ListParagraph"/>
        <w:ind w:left="0"/>
        <w:rPr>
          <w:rFonts w:cs="Arial"/>
          <w:b/>
          <w:sz w:val="22"/>
          <w:u w:val="single"/>
        </w:rPr>
      </w:pPr>
      <w:r w:rsidRPr="00F51B68">
        <w:rPr>
          <w:rFonts w:cs="Arial"/>
          <w:b/>
          <w:sz w:val="22"/>
          <w:u w:val="single"/>
        </w:rPr>
        <w:t>Other Pupil Outcomes</w:t>
      </w:r>
    </w:p>
    <w:p w:rsidR="00AA751A" w:rsidRPr="00F51B68" w:rsidRDefault="00AA751A" w:rsidP="00AA751A">
      <w:pPr>
        <w:pStyle w:val="ListParagraph"/>
        <w:ind w:left="0"/>
        <w:rPr>
          <w:rFonts w:cs="Arial"/>
          <w:b/>
          <w:sz w:val="22"/>
          <w:u w:val="single"/>
        </w:rPr>
      </w:pPr>
    </w:p>
    <w:p w:rsidR="00AA751A" w:rsidRPr="00F51B68" w:rsidRDefault="00AA751A" w:rsidP="00AA751A">
      <w:pPr>
        <w:pStyle w:val="ListParagraph"/>
        <w:numPr>
          <w:ilvl w:val="0"/>
          <w:numId w:val="14"/>
        </w:numPr>
        <w:rPr>
          <w:rFonts w:cs="Arial"/>
          <w:b/>
          <w:sz w:val="22"/>
          <w:u w:val="single"/>
        </w:rPr>
      </w:pPr>
      <w:r w:rsidRPr="00F51B68">
        <w:rPr>
          <w:rFonts w:cs="Arial"/>
          <w:sz w:val="22"/>
        </w:rPr>
        <w:t>57 percent of CPA students met UC a-g requirements</w:t>
      </w:r>
      <w:r w:rsidR="000608EE">
        <w:rPr>
          <w:rFonts w:cs="Arial"/>
          <w:sz w:val="22"/>
        </w:rPr>
        <w:t xml:space="preserve"> — </w:t>
      </w:r>
      <w:r w:rsidRPr="00F51B68">
        <w:rPr>
          <w:rFonts w:cs="Arial"/>
          <w:sz w:val="22"/>
        </w:rPr>
        <w:t xml:space="preserve">21 percent higher than non-CPA students. </w:t>
      </w:r>
    </w:p>
    <w:p w:rsidR="00AA751A" w:rsidRDefault="00AA751A" w:rsidP="00AA751A">
      <w:pPr>
        <w:pStyle w:val="ListParagraph"/>
        <w:rPr>
          <w:rFonts w:cs="Arial"/>
          <w:b/>
          <w:sz w:val="22"/>
          <w:u w:val="single"/>
        </w:rPr>
      </w:pPr>
    </w:p>
    <w:p w:rsidR="00DD3DF9" w:rsidRPr="00F51B68" w:rsidRDefault="00DD3DF9" w:rsidP="00AA751A">
      <w:pPr>
        <w:pStyle w:val="ListParagraph"/>
        <w:rPr>
          <w:rFonts w:cs="Arial"/>
          <w:b/>
          <w:sz w:val="22"/>
          <w:u w:val="single"/>
        </w:rPr>
      </w:pPr>
    </w:p>
    <w:p w:rsidR="00AA751A" w:rsidRPr="00F51B68" w:rsidRDefault="00AA751A" w:rsidP="00AA751A">
      <w:pPr>
        <w:pStyle w:val="ListParagraph"/>
        <w:numPr>
          <w:ilvl w:val="0"/>
          <w:numId w:val="16"/>
        </w:numPr>
        <w:rPr>
          <w:rFonts w:cs="Arial"/>
          <w:b/>
          <w:sz w:val="22"/>
          <w:u w:val="single"/>
        </w:rPr>
      </w:pPr>
      <w:r w:rsidRPr="00F51B68">
        <w:rPr>
          <w:rFonts w:cs="Arial"/>
          <w:b/>
          <w:sz w:val="22"/>
          <w:u w:val="single"/>
        </w:rPr>
        <w:t>ENGAGEMENT</w:t>
      </w:r>
    </w:p>
    <w:p w:rsidR="00AA751A" w:rsidRPr="00F51B68" w:rsidRDefault="00AA751A" w:rsidP="00AA751A">
      <w:pPr>
        <w:rPr>
          <w:rFonts w:cs="Arial"/>
          <w:b/>
          <w:sz w:val="22"/>
          <w:u w:val="single"/>
        </w:rPr>
      </w:pPr>
    </w:p>
    <w:p w:rsidR="00DD3DF9" w:rsidRDefault="00DD3DF9" w:rsidP="00AA751A">
      <w:pPr>
        <w:rPr>
          <w:rFonts w:cs="Arial"/>
          <w:b/>
          <w:sz w:val="22"/>
          <w:u w:val="single"/>
        </w:rPr>
      </w:pPr>
    </w:p>
    <w:p w:rsidR="00AA751A" w:rsidRPr="00F51B68" w:rsidRDefault="00AA751A" w:rsidP="00AA751A">
      <w:pPr>
        <w:rPr>
          <w:rFonts w:cs="Arial"/>
          <w:b/>
          <w:sz w:val="22"/>
          <w:u w:val="single"/>
        </w:rPr>
      </w:pPr>
      <w:r w:rsidRPr="00F51B68">
        <w:rPr>
          <w:rFonts w:cs="Arial"/>
          <w:b/>
          <w:sz w:val="22"/>
          <w:u w:val="single"/>
        </w:rPr>
        <w:t>Parent Involvement</w:t>
      </w:r>
    </w:p>
    <w:p w:rsidR="00AA751A" w:rsidRPr="00F51B68" w:rsidRDefault="00AA751A" w:rsidP="00AA751A">
      <w:pPr>
        <w:rPr>
          <w:rFonts w:cs="Arial"/>
          <w:sz w:val="22"/>
        </w:rPr>
      </w:pPr>
    </w:p>
    <w:p w:rsidR="00AA751A" w:rsidRPr="00F51B68" w:rsidRDefault="00AA751A" w:rsidP="00AA751A">
      <w:pPr>
        <w:pStyle w:val="ListParagraph"/>
        <w:numPr>
          <w:ilvl w:val="0"/>
          <w:numId w:val="14"/>
        </w:numPr>
        <w:rPr>
          <w:rFonts w:cs="Arial"/>
          <w:sz w:val="22"/>
        </w:rPr>
      </w:pPr>
      <w:r w:rsidRPr="00F51B68">
        <w:rPr>
          <w:rFonts w:cs="Arial"/>
          <w:sz w:val="22"/>
        </w:rPr>
        <w:t xml:space="preserve">Parents are an important part of each LEA’s CTE advisory </w:t>
      </w:r>
      <w:r w:rsidR="00412677">
        <w:rPr>
          <w:rFonts w:cs="Arial"/>
          <w:sz w:val="22"/>
        </w:rPr>
        <w:t xml:space="preserve">committee </w:t>
      </w:r>
      <w:r w:rsidRPr="00F51B68">
        <w:rPr>
          <w:rFonts w:cs="Arial"/>
          <w:sz w:val="22"/>
        </w:rPr>
        <w:t>and their active involvement is required per US Education Code.</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4"/>
        </w:numPr>
        <w:rPr>
          <w:rFonts w:cs="Arial"/>
          <w:sz w:val="22"/>
        </w:rPr>
      </w:pPr>
      <w:r w:rsidRPr="00F51B68">
        <w:rPr>
          <w:rFonts w:cs="Arial"/>
          <w:sz w:val="22"/>
        </w:rPr>
        <w:t xml:space="preserve">Each CPA must have an advisory committee made up of all stakeholder groups, including parents. </w:t>
      </w:r>
    </w:p>
    <w:p w:rsidR="00AA751A" w:rsidRDefault="00AA751A" w:rsidP="00AA751A">
      <w:pPr>
        <w:pStyle w:val="ListParagraph"/>
        <w:rPr>
          <w:rFonts w:cs="Arial"/>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91670B" w:rsidRDefault="0091670B" w:rsidP="00A54B37">
      <w:pPr>
        <w:pStyle w:val="ListParagraph"/>
        <w:ind w:left="360"/>
        <w:rPr>
          <w:rFonts w:cs="Arial"/>
          <w:b/>
          <w:sz w:val="22"/>
        </w:rPr>
      </w:pPr>
    </w:p>
    <w:p w:rsidR="00444B53" w:rsidRPr="00692DC9" w:rsidRDefault="00444B53" w:rsidP="00692DC9">
      <w:pPr>
        <w:pStyle w:val="ListParagraph"/>
        <w:ind w:left="0"/>
        <w:rPr>
          <w:rFonts w:cs="Arial"/>
          <w:b/>
          <w:sz w:val="22"/>
          <w:u w:val="single"/>
        </w:rPr>
      </w:pPr>
      <w:r w:rsidRPr="00692DC9">
        <w:rPr>
          <w:rFonts w:cs="Arial"/>
          <w:b/>
          <w:sz w:val="22"/>
          <w:u w:val="single"/>
        </w:rPr>
        <w:t>Pupil Engagement</w:t>
      </w:r>
    </w:p>
    <w:p w:rsidR="00444B53" w:rsidRPr="00444B53" w:rsidRDefault="00444B53" w:rsidP="00444B53">
      <w:pPr>
        <w:pStyle w:val="ListParagraph"/>
        <w:rPr>
          <w:rFonts w:cs="Arial"/>
          <w:sz w:val="22"/>
        </w:rPr>
      </w:pPr>
    </w:p>
    <w:p w:rsidR="00444B53" w:rsidRPr="00444B53" w:rsidRDefault="00444B53" w:rsidP="00A54B37">
      <w:pPr>
        <w:pStyle w:val="ListParagraph"/>
        <w:numPr>
          <w:ilvl w:val="0"/>
          <w:numId w:val="21"/>
        </w:numPr>
        <w:rPr>
          <w:rFonts w:cs="Arial"/>
          <w:sz w:val="22"/>
        </w:rPr>
      </w:pPr>
      <w:r w:rsidRPr="00444B53">
        <w:rPr>
          <w:rFonts w:cs="Arial"/>
          <w:sz w:val="22"/>
        </w:rPr>
        <w:t>CTE increases engagement in school by involving students as decision-makers and “owners” of their education process.</w:t>
      </w:r>
    </w:p>
    <w:p w:rsidR="00F51B68" w:rsidRDefault="00F51B68" w:rsidP="00AA751A">
      <w:pPr>
        <w:rPr>
          <w:rFonts w:cs="Arial"/>
          <w:b/>
          <w:sz w:val="22"/>
          <w:u w:val="single"/>
        </w:rPr>
      </w:pPr>
    </w:p>
    <w:p w:rsidR="00AA751A" w:rsidRPr="00F51B68" w:rsidRDefault="00AA751A" w:rsidP="00AA751A">
      <w:pPr>
        <w:pStyle w:val="ListParagraph"/>
        <w:numPr>
          <w:ilvl w:val="0"/>
          <w:numId w:val="13"/>
        </w:numPr>
        <w:rPr>
          <w:rFonts w:cs="Arial"/>
          <w:sz w:val="22"/>
        </w:rPr>
      </w:pPr>
      <w:r w:rsidRPr="00F51B68">
        <w:rPr>
          <w:rFonts w:cs="Arial"/>
          <w:sz w:val="22"/>
        </w:rPr>
        <w:t>CTE significantly increases not only the high school graduation rate, but also results in a higher percentage of students going to college and persisting through graduation.</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 xml:space="preserve">Students taking both academic and technical courses have lower </w:t>
      </w:r>
      <w:r w:rsidR="002965B1">
        <w:rPr>
          <w:rFonts w:cs="Arial"/>
          <w:sz w:val="22"/>
        </w:rPr>
        <w:t>d</w:t>
      </w:r>
      <w:r w:rsidRPr="00F51B68">
        <w:rPr>
          <w:rFonts w:cs="Arial"/>
          <w:sz w:val="22"/>
        </w:rPr>
        <w:t xml:space="preserve">ropout rates and better achievement gains than other students. </w:t>
      </w:r>
    </w:p>
    <w:p w:rsidR="00AA751A"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 xml:space="preserve">Students of Regional Occupational Centers and Programs were typically from lower achieving and lower socioeconomic status than peers, but were just as likely to enroll in postsecondary education and eventually earn higher wages. </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Students have a decreased risk of dropping out of high school as they add CTE courses to their curriculum.</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 xml:space="preserve">High-risk students are </w:t>
      </w:r>
      <w:r w:rsidR="000608EE">
        <w:rPr>
          <w:rFonts w:cs="Arial"/>
          <w:sz w:val="22"/>
        </w:rPr>
        <w:t>8</w:t>
      </w:r>
      <w:r w:rsidRPr="00F51B68">
        <w:rPr>
          <w:rFonts w:cs="Arial"/>
          <w:sz w:val="22"/>
        </w:rPr>
        <w:t xml:space="preserve"> to 10 times less likely to drop out in grades </w:t>
      </w:r>
      <w:r w:rsidR="000608EE">
        <w:rPr>
          <w:rFonts w:cs="Arial"/>
          <w:sz w:val="22"/>
        </w:rPr>
        <w:t xml:space="preserve">ten and eleven </w:t>
      </w:r>
      <w:r w:rsidRPr="00F51B68">
        <w:rPr>
          <w:rFonts w:cs="Arial"/>
          <w:sz w:val="22"/>
        </w:rPr>
        <w:t xml:space="preserve">if they enroll in a CTE program instead of a general program. </w:t>
      </w:r>
    </w:p>
    <w:p w:rsidR="00AA751A" w:rsidRPr="00F51B68" w:rsidRDefault="00AA751A" w:rsidP="00AA751A">
      <w:pPr>
        <w:pStyle w:val="ListParagraph"/>
        <w:rPr>
          <w:rFonts w:cs="Arial"/>
          <w:sz w:val="22"/>
        </w:rPr>
      </w:pPr>
    </w:p>
    <w:p w:rsidR="00AA751A" w:rsidRPr="00F51B68" w:rsidRDefault="00AA751A" w:rsidP="00AA751A">
      <w:pPr>
        <w:pStyle w:val="ListParagraph"/>
        <w:numPr>
          <w:ilvl w:val="0"/>
          <w:numId w:val="13"/>
        </w:numPr>
        <w:rPr>
          <w:rFonts w:cs="Arial"/>
          <w:sz w:val="22"/>
        </w:rPr>
      </w:pPr>
      <w:r w:rsidRPr="00F51B68">
        <w:rPr>
          <w:rFonts w:cs="Arial"/>
          <w:sz w:val="22"/>
        </w:rPr>
        <w:t>The National Dropout Prevention Center/Network states q</w:t>
      </w:r>
      <w:r w:rsidR="002965B1">
        <w:rPr>
          <w:rFonts w:cs="Arial"/>
          <w:sz w:val="22"/>
        </w:rPr>
        <w:t xml:space="preserve">uality CTE and related </w:t>
      </w:r>
      <w:r w:rsidRPr="00F51B68">
        <w:rPr>
          <w:rFonts w:cs="Arial"/>
          <w:sz w:val="22"/>
        </w:rPr>
        <w:t>guidance programs are “essential for all students” an</w:t>
      </w:r>
      <w:r w:rsidR="002965B1">
        <w:rPr>
          <w:rFonts w:cs="Arial"/>
          <w:sz w:val="22"/>
        </w:rPr>
        <w:t>d coupled with other strategies</w:t>
      </w:r>
      <w:r w:rsidRPr="00F51B68">
        <w:rPr>
          <w:rFonts w:cs="Arial"/>
          <w:sz w:val="22"/>
        </w:rPr>
        <w:t xml:space="preserve"> have the most impact on the dropout rate.</w:t>
      </w:r>
    </w:p>
    <w:p w:rsidR="00AA751A" w:rsidRDefault="00AA751A" w:rsidP="00AA751A">
      <w:pPr>
        <w:pStyle w:val="ListParagraph"/>
        <w:rPr>
          <w:rFonts w:cs="Arial"/>
          <w:sz w:val="22"/>
        </w:rPr>
      </w:pPr>
    </w:p>
    <w:p w:rsidR="00444B53" w:rsidRPr="00444B53" w:rsidRDefault="00444B53" w:rsidP="00692DC9">
      <w:pPr>
        <w:pStyle w:val="ListParagraph"/>
        <w:ind w:left="0"/>
        <w:rPr>
          <w:rFonts w:cs="Arial"/>
          <w:b/>
          <w:sz w:val="22"/>
          <w:u w:val="single"/>
        </w:rPr>
      </w:pPr>
      <w:r w:rsidRPr="00444B53">
        <w:rPr>
          <w:rFonts w:cs="Arial"/>
          <w:b/>
          <w:sz w:val="22"/>
          <w:u w:val="single"/>
        </w:rPr>
        <w:t>School Climate</w:t>
      </w:r>
    </w:p>
    <w:p w:rsidR="00444B53" w:rsidRPr="00444B53" w:rsidRDefault="00444B53" w:rsidP="00444B53">
      <w:pPr>
        <w:pStyle w:val="ListParagraph"/>
        <w:rPr>
          <w:rFonts w:cs="Arial"/>
          <w:b/>
          <w:sz w:val="22"/>
          <w:u w:val="single"/>
        </w:rPr>
      </w:pPr>
    </w:p>
    <w:p w:rsidR="00444B53" w:rsidRPr="00444B53" w:rsidRDefault="00444B53" w:rsidP="00A54B37">
      <w:pPr>
        <w:pStyle w:val="ListParagraph"/>
        <w:numPr>
          <w:ilvl w:val="0"/>
          <w:numId w:val="13"/>
        </w:numPr>
        <w:rPr>
          <w:rFonts w:cs="Arial"/>
          <w:sz w:val="22"/>
        </w:rPr>
      </w:pPr>
      <w:r w:rsidRPr="00444B53">
        <w:rPr>
          <w:rFonts w:cs="Arial"/>
          <w:sz w:val="22"/>
        </w:rPr>
        <w:t>CTE has been found to increase school connectedness, reduce behavioral problems related to suspensions and</w:t>
      </w:r>
      <w:r w:rsidR="002965B1">
        <w:rPr>
          <w:rFonts w:cs="Arial"/>
          <w:sz w:val="22"/>
        </w:rPr>
        <w:t xml:space="preserve"> expulsions, and reduce dropout rates</w:t>
      </w:r>
      <w:r w:rsidRPr="00444B53">
        <w:rPr>
          <w:rFonts w:cs="Arial"/>
          <w:sz w:val="22"/>
        </w:rPr>
        <w:t xml:space="preserve"> among all student groups</w:t>
      </w:r>
      <w:r w:rsidR="000608EE">
        <w:rPr>
          <w:rFonts w:cs="Arial"/>
          <w:sz w:val="22"/>
        </w:rPr>
        <w:t xml:space="preserve"> — </w:t>
      </w:r>
      <w:r w:rsidRPr="00444B53">
        <w:rPr>
          <w:rFonts w:cs="Arial"/>
          <w:sz w:val="22"/>
        </w:rPr>
        <w:t>especially among students most at risk of dropping out.</w:t>
      </w:r>
    </w:p>
    <w:p w:rsidR="00444B53" w:rsidRPr="00F51B68" w:rsidRDefault="00444B53" w:rsidP="00AA751A">
      <w:pPr>
        <w:pStyle w:val="ListParagraph"/>
        <w:rPr>
          <w:rFonts w:cs="Arial"/>
          <w:sz w:val="22"/>
        </w:rPr>
      </w:pPr>
    </w:p>
    <w:p w:rsidR="00444B53" w:rsidRDefault="00444B53" w:rsidP="00AA751A">
      <w:pPr>
        <w:rPr>
          <w:rFonts w:cs="Arial"/>
          <w:b/>
          <w:sz w:val="22"/>
        </w:rPr>
      </w:pPr>
    </w:p>
    <w:p w:rsidR="00955D63" w:rsidRDefault="00955D63" w:rsidP="00AA751A">
      <w:pPr>
        <w:rPr>
          <w:rFonts w:cs="Arial"/>
          <w:b/>
          <w:sz w:val="22"/>
        </w:rPr>
        <w:sectPr w:rsidR="00955D63" w:rsidSect="00012703">
          <w:type w:val="continuous"/>
          <w:pgSz w:w="12240" w:h="15840"/>
          <w:pgMar w:top="288" w:right="1440" w:bottom="28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444B53" w:rsidRDefault="00444B53" w:rsidP="00AA751A">
      <w:pPr>
        <w:rPr>
          <w:rFonts w:cs="Arial"/>
          <w:b/>
          <w:sz w:val="22"/>
        </w:rPr>
      </w:pPr>
    </w:p>
    <w:p w:rsidR="00444B53" w:rsidRDefault="00444B53" w:rsidP="00AA751A">
      <w:pPr>
        <w:rPr>
          <w:rFonts w:cs="Arial"/>
          <w:b/>
          <w:sz w:val="22"/>
        </w:rPr>
      </w:pPr>
    </w:p>
    <w:p w:rsidR="00444B53" w:rsidRDefault="00444B53" w:rsidP="00AA751A">
      <w:pPr>
        <w:rPr>
          <w:rFonts w:cs="Arial"/>
          <w:b/>
          <w:sz w:val="22"/>
        </w:rPr>
      </w:pPr>
    </w:p>
    <w:p w:rsidR="00DD3DF9" w:rsidRDefault="00DD3DF9" w:rsidP="00692DC9">
      <w:pPr>
        <w:rPr>
          <w:rFonts w:cs="Arial"/>
          <w:b/>
          <w:sz w:val="22"/>
        </w:rPr>
        <w:sectPr w:rsidR="00DD3DF9" w:rsidSect="00012703">
          <w:type w:val="continuous"/>
          <w:pgSz w:w="12240" w:h="15840"/>
          <w:pgMar w:top="288" w:right="1440" w:bottom="28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7B65F5" w:rsidRPr="00444B53" w:rsidRDefault="00DD3DF9" w:rsidP="00692DC9">
      <w:pPr>
        <w:rPr>
          <w:rFonts w:cs="Arial"/>
          <w:b/>
          <w:sz w:val="22"/>
        </w:rPr>
      </w:pPr>
      <w:r>
        <w:rPr>
          <w:rFonts w:cs="Arial"/>
          <w:noProof/>
          <w:sz w:val="22"/>
        </w:rPr>
        <w:drawing>
          <wp:anchor distT="0" distB="0" distL="114300" distR="114300" simplePos="0" relativeHeight="251673600" behindDoc="0" locked="0" layoutInCell="1" allowOverlap="1" wp14:anchorId="02EB82C8" wp14:editId="2004D37A">
            <wp:simplePos x="0" y="0"/>
            <wp:positionH relativeFrom="column">
              <wp:posOffset>3171825</wp:posOffset>
            </wp:positionH>
            <wp:positionV relativeFrom="paragraph">
              <wp:posOffset>108585</wp:posOffset>
            </wp:positionV>
            <wp:extent cx="2743200" cy="2053590"/>
            <wp:effectExtent l="19050" t="19050" r="19050" b="22860"/>
            <wp:wrapSquare wrapText="bothSides"/>
            <wp:docPr id="7" name="Picture 7" descr="G:\PASO\Photo\Stanislaus\HPIM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ASO\Photo\Stanislaus\HPIM08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2053590"/>
                    </a:xfrm>
                    <a:prstGeom prst="rect">
                      <a:avLst/>
                    </a:prstGeom>
                    <a:noFill/>
                    <a:ln w="25400" cmpd="sng">
                      <a:solidFill>
                        <a:schemeClr val="accent1"/>
                      </a:solidFill>
                    </a:ln>
                  </pic:spPr>
                </pic:pic>
              </a:graphicData>
            </a:graphic>
            <wp14:sizeRelH relativeFrom="page">
              <wp14:pctWidth>0</wp14:pctWidth>
            </wp14:sizeRelH>
            <wp14:sizeRelV relativeFrom="page">
              <wp14:pctHeight>0</wp14:pctHeight>
            </wp14:sizeRelV>
          </wp:anchor>
        </w:drawing>
      </w:r>
      <w:r w:rsidR="00144CB8">
        <w:rPr>
          <w:rFonts w:cs="Arial"/>
          <w:b/>
          <w:sz w:val="22"/>
        </w:rPr>
        <w:t>College and Career Readiness and Success</w:t>
      </w:r>
    </w:p>
    <w:p w:rsidR="00444B53" w:rsidRDefault="00444B53" w:rsidP="00AA751A">
      <w:pPr>
        <w:rPr>
          <w:rFonts w:cs="Arial"/>
          <w:sz w:val="22"/>
        </w:rPr>
      </w:pPr>
    </w:p>
    <w:p w:rsidR="00DD3DF9" w:rsidRDefault="00DD3DF9" w:rsidP="00AA751A">
      <w:pPr>
        <w:rPr>
          <w:rFonts w:cs="Arial"/>
          <w:sz w:val="22"/>
        </w:rPr>
      </w:pPr>
    </w:p>
    <w:p w:rsidR="00AA751A" w:rsidRPr="00F51B68" w:rsidRDefault="00AA751A" w:rsidP="00AA751A">
      <w:pPr>
        <w:rPr>
          <w:rFonts w:cs="Arial"/>
          <w:sz w:val="22"/>
        </w:rPr>
      </w:pPr>
      <w:r w:rsidRPr="00F51B68">
        <w:rPr>
          <w:rFonts w:cs="Arial"/>
          <w:sz w:val="22"/>
        </w:rPr>
        <w:t xml:space="preserve">CTE has also been proven to help students become college and career ready, as listed under the State Priorities in the </w:t>
      </w:r>
      <w:r w:rsidR="000608EE" w:rsidRPr="000608EE">
        <w:rPr>
          <w:rFonts w:cs="Arial"/>
          <w:i/>
          <w:sz w:val="22"/>
        </w:rPr>
        <w:t>ED Code</w:t>
      </w:r>
      <w:r w:rsidRPr="00F51B68">
        <w:rPr>
          <w:rFonts w:cs="Arial"/>
          <w:sz w:val="22"/>
        </w:rPr>
        <w:t>. Specifically, CTE does the following:</w:t>
      </w:r>
    </w:p>
    <w:p w:rsidR="00AA751A" w:rsidRPr="00F51B68" w:rsidRDefault="00AA751A" w:rsidP="00AA751A">
      <w:pPr>
        <w:rPr>
          <w:rFonts w:cs="Arial"/>
          <w:sz w:val="22"/>
        </w:rPr>
      </w:pPr>
    </w:p>
    <w:p w:rsidR="00C03D82" w:rsidRDefault="00C03D82" w:rsidP="005B23D0">
      <w:pPr>
        <w:rPr>
          <w:rFonts w:cs="Arial"/>
          <w:b/>
          <w:sz w:val="22"/>
        </w:rPr>
      </w:pPr>
    </w:p>
    <w:p w:rsidR="00AA751A" w:rsidRPr="005B23D0" w:rsidRDefault="00AA751A" w:rsidP="005B23D0">
      <w:pPr>
        <w:rPr>
          <w:rFonts w:cs="Arial"/>
          <w:b/>
          <w:sz w:val="22"/>
        </w:rPr>
      </w:pPr>
      <w:r w:rsidRPr="005B23D0">
        <w:rPr>
          <w:rFonts w:cs="Arial"/>
          <w:b/>
          <w:sz w:val="22"/>
        </w:rPr>
        <w:t>Improves success in college</w:t>
      </w:r>
    </w:p>
    <w:p w:rsidR="00444B53" w:rsidRDefault="00444B53" w:rsidP="005B23D0">
      <w:pPr>
        <w:rPr>
          <w:rFonts w:cs="Arial"/>
          <w:sz w:val="22"/>
        </w:rPr>
      </w:pPr>
    </w:p>
    <w:p w:rsidR="00AA751A" w:rsidRPr="005B23D0" w:rsidRDefault="00AA751A" w:rsidP="005B23D0">
      <w:pPr>
        <w:pStyle w:val="ListParagraph"/>
        <w:numPr>
          <w:ilvl w:val="0"/>
          <w:numId w:val="19"/>
        </w:numPr>
        <w:rPr>
          <w:rFonts w:cs="Arial"/>
          <w:sz w:val="22"/>
        </w:rPr>
      </w:pPr>
      <w:r w:rsidRPr="005B23D0">
        <w:rPr>
          <w:rFonts w:cs="Arial"/>
          <w:sz w:val="22"/>
        </w:rPr>
        <w:t xml:space="preserve">More likely to go to college or postsecondary program </w:t>
      </w:r>
      <w:r w:rsidR="000608EE">
        <w:rPr>
          <w:rFonts w:cs="Arial"/>
          <w:sz w:val="22"/>
        </w:rPr>
        <w:t>—</w:t>
      </w:r>
      <w:r w:rsidRPr="005B23D0">
        <w:rPr>
          <w:rFonts w:cs="Arial"/>
          <w:sz w:val="22"/>
        </w:rPr>
        <w:t xml:space="preserve"> 79 percent go within two years</w:t>
      </w:r>
    </w:p>
    <w:p w:rsidR="005B23D0" w:rsidRPr="00F51B68" w:rsidRDefault="005B23D0" w:rsidP="005B23D0">
      <w:pPr>
        <w:rPr>
          <w:rFonts w:cs="Arial"/>
          <w:sz w:val="22"/>
        </w:rPr>
      </w:pPr>
    </w:p>
    <w:p w:rsidR="005B23D0" w:rsidRPr="005B23D0" w:rsidRDefault="00AA751A" w:rsidP="005B23D0">
      <w:pPr>
        <w:pStyle w:val="ListParagraph"/>
        <w:numPr>
          <w:ilvl w:val="0"/>
          <w:numId w:val="19"/>
        </w:numPr>
        <w:rPr>
          <w:rFonts w:cs="Arial"/>
          <w:sz w:val="22"/>
        </w:rPr>
      </w:pPr>
      <w:r w:rsidRPr="005B23D0">
        <w:rPr>
          <w:rFonts w:cs="Arial"/>
          <w:sz w:val="22"/>
        </w:rPr>
        <w:t>Maintain a higher GPA</w:t>
      </w:r>
    </w:p>
    <w:p w:rsidR="005B23D0" w:rsidRDefault="005B23D0" w:rsidP="005B23D0">
      <w:pPr>
        <w:rPr>
          <w:rFonts w:cs="Arial"/>
          <w:sz w:val="22"/>
        </w:rPr>
      </w:pPr>
    </w:p>
    <w:p w:rsidR="00AA751A" w:rsidRPr="005B23D0" w:rsidRDefault="00AA751A" w:rsidP="005B23D0">
      <w:pPr>
        <w:pStyle w:val="ListParagraph"/>
        <w:numPr>
          <w:ilvl w:val="0"/>
          <w:numId w:val="19"/>
        </w:numPr>
        <w:rPr>
          <w:rFonts w:cs="Arial"/>
          <w:sz w:val="22"/>
        </w:rPr>
      </w:pPr>
      <w:r w:rsidRPr="005B23D0">
        <w:rPr>
          <w:rFonts w:cs="Arial"/>
          <w:sz w:val="22"/>
        </w:rPr>
        <w:t xml:space="preserve">More likely to stay in college </w:t>
      </w:r>
    </w:p>
    <w:p w:rsidR="00DD3DF9" w:rsidRDefault="00DD3DF9" w:rsidP="00AA751A">
      <w:pPr>
        <w:rPr>
          <w:rFonts w:cs="Arial"/>
          <w:b/>
          <w:sz w:val="22"/>
        </w:rPr>
      </w:pPr>
    </w:p>
    <w:p w:rsidR="006B5AE6" w:rsidRDefault="00DD3DF9" w:rsidP="00DD3DF9">
      <w:pPr>
        <w:rPr>
          <w:rFonts w:cs="Arial"/>
          <w:b/>
          <w:sz w:val="22"/>
        </w:rPr>
      </w:pPr>
      <w:r>
        <w:rPr>
          <w:rFonts w:cs="Arial"/>
          <w:b/>
          <w:sz w:val="22"/>
        </w:rPr>
        <w:t>I</w:t>
      </w:r>
      <w:r w:rsidR="00AA751A" w:rsidRPr="00960807">
        <w:rPr>
          <w:rFonts w:cs="Arial"/>
          <w:b/>
          <w:sz w:val="22"/>
        </w:rPr>
        <w:t>mproves success in work and life</w:t>
      </w:r>
    </w:p>
    <w:p w:rsidR="00DD3DF9" w:rsidRPr="00DD3DF9" w:rsidRDefault="00DD3DF9" w:rsidP="00DD3DF9">
      <w:pPr>
        <w:rPr>
          <w:rFonts w:cs="Arial"/>
          <w:b/>
          <w:sz w:val="22"/>
        </w:rPr>
      </w:pPr>
    </w:p>
    <w:p w:rsidR="00AA751A" w:rsidRPr="00960807" w:rsidRDefault="00AA751A" w:rsidP="00960807">
      <w:pPr>
        <w:pStyle w:val="ListParagraph"/>
        <w:numPr>
          <w:ilvl w:val="0"/>
          <w:numId w:val="20"/>
        </w:numPr>
        <w:rPr>
          <w:rFonts w:cs="Arial"/>
          <w:sz w:val="22"/>
        </w:rPr>
      </w:pPr>
      <w:r w:rsidRPr="00960807">
        <w:rPr>
          <w:rFonts w:cs="Arial"/>
          <w:sz w:val="22"/>
        </w:rPr>
        <w:t xml:space="preserve">95 percent </w:t>
      </w:r>
      <w:r w:rsidR="006F35C6">
        <w:rPr>
          <w:rFonts w:cs="Arial"/>
          <w:sz w:val="22"/>
        </w:rPr>
        <w:t xml:space="preserve">of CTE students </w:t>
      </w:r>
      <w:r w:rsidRPr="00960807">
        <w:rPr>
          <w:rFonts w:cs="Arial"/>
          <w:sz w:val="22"/>
        </w:rPr>
        <w:t>who did not go to college worked for pay within two years of high school graduation.</w:t>
      </w:r>
    </w:p>
    <w:p w:rsidR="00A54B37" w:rsidRDefault="00A54B37" w:rsidP="00A54B37">
      <w:pPr>
        <w:pStyle w:val="ListParagraph"/>
        <w:rPr>
          <w:rFonts w:cs="Arial"/>
          <w:sz w:val="22"/>
        </w:rPr>
      </w:pPr>
    </w:p>
    <w:p w:rsidR="00DD3DF9" w:rsidRDefault="00DD3DF9" w:rsidP="00A54B37">
      <w:pPr>
        <w:pStyle w:val="ListParagraph"/>
        <w:ind w:left="0"/>
        <w:rPr>
          <w:rFonts w:cs="Arial"/>
          <w:b/>
          <w:sz w:val="22"/>
        </w:rPr>
      </w:pPr>
    </w:p>
    <w:p w:rsidR="00AA751A" w:rsidRPr="00A54B37" w:rsidRDefault="00DD3DF9" w:rsidP="00692DC9">
      <w:pPr>
        <w:pStyle w:val="ListParagraph"/>
        <w:ind w:left="0"/>
        <w:rPr>
          <w:rFonts w:cs="Arial"/>
          <w:b/>
          <w:sz w:val="22"/>
        </w:rPr>
      </w:pPr>
      <w:r>
        <w:rPr>
          <w:rFonts w:cs="Arial"/>
          <w:b/>
          <w:sz w:val="22"/>
        </w:rPr>
        <w:t>I</w:t>
      </w:r>
      <w:r w:rsidR="00AA751A" w:rsidRPr="00A54B37">
        <w:rPr>
          <w:rFonts w:cs="Arial"/>
          <w:b/>
          <w:sz w:val="22"/>
        </w:rPr>
        <w:t>ncreases Career Readiness</w:t>
      </w:r>
    </w:p>
    <w:p w:rsidR="00A54B37" w:rsidRDefault="00A54B37" w:rsidP="00A54B37">
      <w:pPr>
        <w:pStyle w:val="ListParagraph"/>
        <w:rPr>
          <w:rFonts w:cs="Arial"/>
          <w:sz w:val="22"/>
        </w:rPr>
      </w:pPr>
    </w:p>
    <w:p w:rsidR="00AA751A" w:rsidRPr="00960807" w:rsidRDefault="00AA751A" w:rsidP="00692DC9">
      <w:pPr>
        <w:pStyle w:val="ListParagraph"/>
        <w:numPr>
          <w:ilvl w:val="0"/>
          <w:numId w:val="20"/>
        </w:numPr>
        <w:rPr>
          <w:rFonts w:cs="Arial"/>
          <w:sz w:val="22"/>
        </w:rPr>
      </w:pPr>
      <w:r w:rsidRPr="00960807">
        <w:rPr>
          <w:rFonts w:cs="Arial"/>
          <w:sz w:val="22"/>
        </w:rPr>
        <w:t>Experts project 47 million job openings in the decade ending in 2018. About one-third will require an associate’s degree or certificate and nearly all will require real</w:t>
      </w:r>
      <w:r w:rsidR="000608EE">
        <w:rPr>
          <w:rFonts w:cs="Arial"/>
          <w:sz w:val="22"/>
        </w:rPr>
        <w:t xml:space="preserve"> </w:t>
      </w:r>
      <w:r w:rsidRPr="00960807">
        <w:rPr>
          <w:rFonts w:cs="Arial"/>
          <w:sz w:val="22"/>
        </w:rPr>
        <w:t>world skills that can be mastered through CTE.</w:t>
      </w:r>
    </w:p>
    <w:p w:rsidR="00DD3DF9" w:rsidRDefault="00DD3DF9" w:rsidP="00AA751A">
      <w:pPr>
        <w:rPr>
          <w:rFonts w:cs="Arial"/>
          <w:sz w:val="22"/>
        </w:rPr>
        <w:sectPr w:rsidR="00DD3DF9" w:rsidSect="00012703">
          <w:type w:val="continuous"/>
          <w:pgSz w:w="12240" w:h="15840"/>
          <w:pgMar w:top="288" w:right="1440" w:bottom="28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AA32C4" w:rsidRDefault="00AA32C4" w:rsidP="00BD78E8">
      <w:pPr>
        <w:rPr>
          <w:rFonts w:cs="Arial"/>
          <w:sz w:val="22"/>
        </w:rPr>
      </w:pPr>
    </w:p>
    <w:p w:rsidR="00012703" w:rsidRPr="00623A21" w:rsidRDefault="00623A21" w:rsidP="00172F00">
      <w:pPr>
        <w:jc w:val="center"/>
        <w:rPr>
          <w:rFonts w:cs="Arial"/>
          <w:color w:val="95B3D7" w:themeColor="accent1" w:themeTint="99"/>
          <w:sz w:val="28"/>
        </w:rPr>
      </w:pPr>
      <w:r w:rsidRPr="00623A21">
        <w:rPr>
          <w:rFonts w:cs="Arial"/>
          <w:color w:val="95B3D7" w:themeColor="accent1" w:themeTint="99"/>
          <w:sz w:val="28"/>
        </w:rPr>
        <w:t>_______________________________________________________</w:t>
      </w:r>
    </w:p>
    <w:p w:rsidR="00172F00" w:rsidRDefault="00172F00" w:rsidP="00BD78E8">
      <w:pPr>
        <w:rPr>
          <w:rFonts w:cs="Arial"/>
          <w:sz w:val="22"/>
        </w:rPr>
      </w:pPr>
    </w:p>
    <w:p w:rsidR="00BD78E8" w:rsidRDefault="00BD78E8" w:rsidP="00AA32C4">
      <w:pPr>
        <w:jc w:val="center"/>
        <w:rPr>
          <w:rFonts w:cs="Arial"/>
          <w:b/>
          <w:i/>
          <w:sz w:val="28"/>
          <w:szCs w:val="28"/>
        </w:rPr>
      </w:pPr>
      <w:r w:rsidRPr="00AA32C4">
        <w:rPr>
          <w:rFonts w:cs="Arial"/>
          <w:b/>
          <w:i/>
          <w:sz w:val="28"/>
          <w:szCs w:val="28"/>
        </w:rPr>
        <w:t>Professional State Leadership in CTE</w:t>
      </w:r>
    </w:p>
    <w:p w:rsidR="00144CB8" w:rsidRPr="00AA32C4" w:rsidRDefault="00144CB8" w:rsidP="00AA32C4">
      <w:pPr>
        <w:jc w:val="center"/>
        <w:rPr>
          <w:rFonts w:cs="Arial"/>
          <w:b/>
          <w:i/>
          <w:sz w:val="28"/>
          <w:szCs w:val="28"/>
        </w:rPr>
      </w:pPr>
    </w:p>
    <w:p w:rsidR="00BD78E8" w:rsidRPr="00AA32C4" w:rsidRDefault="00BD78E8" w:rsidP="00BD78E8">
      <w:pPr>
        <w:rPr>
          <w:rFonts w:cs="Arial"/>
          <w:i/>
          <w:sz w:val="22"/>
        </w:rPr>
      </w:pPr>
      <w:r w:rsidRPr="00AA32C4">
        <w:rPr>
          <w:rFonts w:cs="Arial"/>
          <w:i/>
          <w:sz w:val="22"/>
        </w:rPr>
        <w:t>The California Department of Education provides education program consultants who cover the 15 Industry Sectors, as well as the California Partnership Academies, Linked Learning Program, Regional Occupational Centers and Programs</w:t>
      </w:r>
      <w:r w:rsidR="000608EE">
        <w:rPr>
          <w:rFonts w:cs="Arial"/>
          <w:i/>
          <w:sz w:val="22"/>
        </w:rPr>
        <w:t>,</w:t>
      </w:r>
      <w:r w:rsidRPr="00AA32C4">
        <w:rPr>
          <w:rFonts w:cs="Arial"/>
          <w:i/>
          <w:sz w:val="22"/>
        </w:rPr>
        <w:t xml:space="preserve"> and</w:t>
      </w:r>
      <w:r w:rsidR="000608EE">
        <w:rPr>
          <w:rFonts w:cs="Arial"/>
          <w:i/>
          <w:sz w:val="22"/>
        </w:rPr>
        <w:t xml:space="preserve"> California</w:t>
      </w:r>
      <w:r w:rsidRPr="00AA32C4">
        <w:rPr>
          <w:rFonts w:cs="Arial"/>
          <w:i/>
          <w:sz w:val="22"/>
        </w:rPr>
        <w:t xml:space="preserve"> Career Pathways Trust Grant Program.</w:t>
      </w:r>
    </w:p>
    <w:p w:rsidR="00BD78E8" w:rsidRPr="00AA32C4" w:rsidRDefault="00BD78E8" w:rsidP="00BD78E8">
      <w:pPr>
        <w:rPr>
          <w:rFonts w:cs="Arial"/>
          <w:i/>
          <w:sz w:val="22"/>
        </w:rPr>
      </w:pPr>
    </w:p>
    <w:p w:rsidR="00BD78E8" w:rsidRPr="00AA32C4" w:rsidRDefault="00BD78E8" w:rsidP="00BD78E8">
      <w:pPr>
        <w:rPr>
          <w:rFonts w:cs="Arial"/>
          <w:i/>
          <w:sz w:val="22"/>
        </w:rPr>
      </w:pPr>
      <w:r w:rsidRPr="00AA32C4">
        <w:rPr>
          <w:rFonts w:cs="Arial"/>
          <w:i/>
          <w:sz w:val="22"/>
        </w:rPr>
        <w:t>For help in preparing your LCAP, or for more information about included statistics</w:t>
      </w:r>
      <w:r w:rsidR="00DE15A7">
        <w:rPr>
          <w:rFonts w:cs="Arial"/>
          <w:i/>
          <w:sz w:val="22"/>
        </w:rPr>
        <w:t>, program information</w:t>
      </w:r>
      <w:r w:rsidR="00F93B54">
        <w:rPr>
          <w:rFonts w:cs="Arial"/>
          <w:i/>
          <w:sz w:val="22"/>
        </w:rPr>
        <w:t>,</w:t>
      </w:r>
      <w:r w:rsidRPr="00AA32C4">
        <w:rPr>
          <w:rFonts w:cs="Arial"/>
          <w:i/>
          <w:sz w:val="22"/>
        </w:rPr>
        <w:t xml:space="preserve"> and research within this fact sheet, please </w:t>
      </w:r>
      <w:proofErr w:type="gramStart"/>
      <w:r w:rsidRPr="00AA32C4">
        <w:rPr>
          <w:rFonts w:cs="Arial"/>
          <w:i/>
          <w:sz w:val="22"/>
        </w:rPr>
        <w:t>feel</w:t>
      </w:r>
      <w:proofErr w:type="gramEnd"/>
      <w:r w:rsidRPr="00AA32C4">
        <w:rPr>
          <w:rFonts w:cs="Arial"/>
          <w:i/>
          <w:sz w:val="22"/>
        </w:rPr>
        <w:t xml:space="preserve"> free to contact us. We would be more than happy to help! </w:t>
      </w:r>
    </w:p>
    <w:p w:rsidR="00BD78E8" w:rsidRPr="00AA32C4" w:rsidRDefault="00BD78E8" w:rsidP="00BD78E8">
      <w:pPr>
        <w:rPr>
          <w:rFonts w:cs="Arial"/>
          <w:i/>
          <w:sz w:val="22"/>
        </w:rPr>
      </w:pPr>
    </w:p>
    <w:p w:rsidR="00AA32C4" w:rsidRDefault="00172F00" w:rsidP="00BD78E8">
      <w:pPr>
        <w:rPr>
          <w:rFonts w:cs="Arial"/>
          <w:sz w:val="22"/>
        </w:rPr>
      </w:pPr>
      <w:r>
        <w:rPr>
          <w:rFonts w:cs="Arial"/>
          <w:noProof/>
          <w:sz w:val="22"/>
        </w:rPr>
        <w:drawing>
          <wp:anchor distT="0" distB="0" distL="114300" distR="114300" simplePos="0" relativeHeight="251675648" behindDoc="0" locked="0" layoutInCell="1" allowOverlap="1" wp14:anchorId="5E7B9374" wp14:editId="45D4BF4D">
            <wp:simplePos x="0" y="0"/>
            <wp:positionH relativeFrom="column">
              <wp:posOffset>4038600</wp:posOffset>
            </wp:positionH>
            <wp:positionV relativeFrom="paragraph">
              <wp:posOffset>125730</wp:posOffset>
            </wp:positionV>
            <wp:extent cx="1615440" cy="122555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5440" cy="1225550"/>
                    </a:xfrm>
                    <a:prstGeom prst="rect">
                      <a:avLst/>
                    </a:prstGeom>
                    <a:noFill/>
                  </pic:spPr>
                </pic:pic>
              </a:graphicData>
            </a:graphic>
            <wp14:sizeRelH relativeFrom="page">
              <wp14:pctWidth>0</wp14:pctWidth>
            </wp14:sizeRelH>
            <wp14:sizeRelV relativeFrom="page">
              <wp14:pctHeight>0</wp14:pctHeight>
            </wp14:sizeRelV>
          </wp:anchor>
        </w:drawing>
      </w:r>
    </w:p>
    <w:p w:rsidR="00AA32C4" w:rsidRPr="00DE15A7" w:rsidRDefault="00DE15A7" w:rsidP="00BD78E8">
      <w:pPr>
        <w:rPr>
          <w:rFonts w:cs="Arial"/>
          <w:b/>
          <w:sz w:val="22"/>
        </w:rPr>
      </w:pPr>
      <w:r w:rsidRPr="00DE15A7">
        <w:rPr>
          <w:rFonts w:cs="Arial"/>
          <w:b/>
          <w:sz w:val="22"/>
        </w:rPr>
        <w:t>LCAP/LCFF Information:</w:t>
      </w:r>
    </w:p>
    <w:p w:rsidR="00BD78E8" w:rsidRDefault="00BD78E8" w:rsidP="00BD78E8">
      <w:pPr>
        <w:rPr>
          <w:rFonts w:cs="Arial"/>
          <w:sz w:val="22"/>
        </w:rPr>
      </w:pPr>
      <w:r w:rsidRPr="00BD78E8">
        <w:rPr>
          <w:rFonts w:cs="Arial"/>
          <w:sz w:val="22"/>
        </w:rPr>
        <w:t>Local Control Funding Office</w:t>
      </w:r>
    </w:p>
    <w:p w:rsidR="00AD5170" w:rsidRDefault="0001401B" w:rsidP="00BD78E8">
      <w:pPr>
        <w:rPr>
          <w:rFonts w:cs="Arial"/>
          <w:sz w:val="22"/>
        </w:rPr>
      </w:pPr>
      <w:hyperlink r:id="rId21" w:history="1">
        <w:r w:rsidR="00AD5170" w:rsidRPr="001209F3">
          <w:rPr>
            <w:rStyle w:val="Hyperlink"/>
            <w:rFonts w:cs="Arial"/>
            <w:sz w:val="22"/>
          </w:rPr>
          <w:t>http://www.cde.ca.gov/fg/aa/lc/</w:t>
        </w:r>
      </w:hyperlink>
    </w:p>
    <w:p w:rsidR="00AA32C4" w:rsidRDefault="0001401B" w:rsidP="00BD78E8">
      <w:pPr>
        <w:rPr>
          <w:rFonts w:cs="Arial"/>
          <w:sz w:val="22"/>
        </w:rPr>
      </w:pPr>
      <w:hyperlink r:id="rId22" w:history="1">
        <w:r w:rsidR="00AA32C4" w:rsidRPr="001209F3">
          <w:rPr>
            <w:rStyle w:val="Hyperlink"/>
            <w:rFonts w:cs="Arial"/>
            <w:sz w:val="22"/>
          </w:rPr>
          <w:t>LCFF@cde.ca.gov</w:t>
        </w:r>
      </w:hyperlink>
    </w:p>
    <w:p w:rsidR="00BD78E8" w:rsidRPr="00BD78E8" w:rsidRDefault="00144CB8" w:rsidP="00BD78E8">
      <w:pPr>
        <w:rPr>
          <w:rFonts w:cs="Arial"/>
          <w:sz w:val="22"/>
        </w:rPr>
      </w:pPr>
      <w:r>
        <w:rPr>
          <w:rFonts w:cs="Arial"/>
          <w:sz w:val="22"/>
        </w:rPr>
        <w:t>916-319-</w:t>
      </w:r>
      <w:r w:rsidR="00BD78E8" w:rsidRPr="00BD78E8">
        <w:rPr>
          <w:rFonts w:cs="Arial"/>
          <w:sz w:val="22"/>
        </w:rPr>
        <w:t xml:space="preserve">0809 </w:t>
      </w:r>
    </w:p>
    <w:p w:rsidR="00BD78E8" w:rsidRDefault="00BD78E8" w:rsidP="00BD78E8">
      <w:pPr>
        <w:rPr>
          <w:rFonts w:cs="Arial"/>
          <w:sz w:val="22"/>
        </w:rPr>
      </w:pPr>
    </w:p>
    <w:p w:rsidR="00DE15A7" w:rsidRPr="00DE15A7" w:rsidRDefault="00DE15A7" w:rsidP="00BD78E8">
      <w:pPr>
        <w:rPr>
          <w:rFonts w:cs="Arial"/>
          <w:b/>
          <w:sz w:val="22"/>
        </w:rPr>
      </w:pPr>
      <w:r w:rsidRPr="00DE15A7">
        <w:rPr>
          <w:rFonts w:cs="Arial"/>
          <w:b/>
          <w:sz w:val="22"/>
        </w:rPr>
        <w:t>CTE Program Information:</w:t>
      </w:r>
    </w:p>
    <w:p w:rsidR="00BD78E8" w:rsidRDefault="00BD78E8" w:rsidP="00BD78E8">
      <w:pPr>
        <w:rPr>
          <w:rFonts w:cs="Arial"/>
          <w:sz w:val="22"/>
        </w:rPr>
      </w:pPr>
      <w:r w:rsidRPr="00BD78E8">
        <w:rPr>
          <w:rFonts w:cs="Arial"/>
          <w:sz w:val="22"/>
        </w:rPr>
        <w:t>Career and College Transition Division</w:t>
      </w:r>
    </w:p>
    <w:p w:rsidR="00B01375" w:rsidRDefault="0001401B" w:rsidP="00BD78E8">
      <w:pPr>
        <w:rPr>
          <w:rFonts w:cs="Arial"/>
          <w:sz w:val="22"/>
        </w:rPr>
      </w:pPr>
      <w:hyperlink r:id="rId23" w:history="1">
        <w:r w:rsidR="00B01375" w:rsidRPr="001209F3">
          <w:rPr>
            <w:rStyle w:val="Hyperlink"/>
            <w:rFonts w:cs="Arial"/>
            <w:sz w:val="22"/>
          </w:rPr>
          <w:t>http://www.cde.ca.gov/ci/ct/</w:t>
        </w:r>
      </w:hyperlink>
    </w:p>
    <w:p w:rsidR="00BD78E8" w:rsidRDefault="0001401B" w:rsidP="00BD78E8">
      <w:pPr>
        <w:rPr>
          <w:rFonts w:cs="Arial"/>
          <w:sz w:val="22"/>
        </w:rPr>
      </w:pPr>
      <w:hyperlink r:id="rId24" w:history="1">
        <w:r w:rsidR="00AA32C4" w:rsidRPr="001209F3">
          <w:rPr>
            <w:rStyle w:val="Hyperlink"/>
            <w:rFonts w:cs="Arial"/>
            <w:sz w:val="22"/>
          </w:rPr>
          <w:t>cte@cde.ca.gov</w:t>
        </w:r>
      </w:hyperlink>
    </w:p>
    <w:p w:rsidR="00792324" w:rsidRDefault="00144CB8" w:rsidP="007F7998">
      <w:pPr>
        <w:rPr>
          <w:rFonts w:cs="Arial"/>
          <w:b/>
          <w:sz w:val="20"/>
          <w:szCs w:val="20"/>
        </w:rPr>
      </w:pPr>
      <w:r>
        <w:rPr>
          <w:rFonts w:cs="Arial"/>
          <w:sz w:val="22"/>
        </w:rPr>
        <w:t>916-445-2652</w:t>
      </w:r>
      <w:r w:rsidR="00BD78E8">
        <w:rPr>
          <w:rFonts w:cs="Arial"/>
          <w:noProof/>
          <w:sz w:val="22"/>
        </w:rPr>
        <mc:AlternateContent>
          <mc:Choice Requires="wps">
            <w:drawing>
              <wp:anchor distT="0" distB="0" distL="114300" distR="114300" simplePos="0" relativeHeight="251674624" behindDoc="0" locked="0" layoutInCell="1" allowOverlap="1" wp14:anchorId="00150E8F" wp14:editId="42DC3DCB">
                <wp:simplePos x="0" y="0"/>
                <wp:positionH relativeFrom="column">
                  <wp:posOffset>9525</wp:posOffset>
                </wp:positionH>
                <wp:positionV relativeFrom="paragraph">
                  <wp:posOffset>3220720</wp:posOffset>
                </wp:positionV>
                <wp:extent cx="597217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721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D82" w:rsidRDefault="00C03D82" w:rsidP="00BD78E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253.6pt;width:470.25pt;height: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" fillcolor="white [3201]" strokeweight=".5pt">
                <v:textbox>
                  <w:txbxContent>
                    <w:p w:rsidR="00C03D82" w:rsidRDefault="00C03D82" w:rsidP="00BD78E8">
                      <w:pPr>
                        <w:jc w:val="right"/>
                      </w:pPr>
                    </w:p>
                  </w:txbxContent>
                </v:textbox>
              </v:shape>
            </w:pict>
          </mc:Fallback>
        </mc:AlternateContent>
      </w:r>
    </w:p>
    <w:sectPr w:rsidR="00792324" w:rsidSect="00012703">
      <w:type w:val="continuous"/>
      <w:pgSz w:w="12240" w:h="15840"/>
      <w:pgMar w:top="288" w:right="1440" w:bottom="28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38" w:rsidRDefault="00196038" w:rsidP="006716CA">
      <w:r>
        <w:separator/>
      </w:r>
    </w:p>
  </w:endnote>
  <w:endnote w:type="continuationSeparator" w:id="0">
    <w:p w:rsidR="00196038" w:rsidRDefault="00196038" w:rsidP="0067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RotisSansSerif ExtraBold">
    <w:altName w:val="RotisSansSerif Extr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46" w:rsidRDefault="00151C46" w:rsidP="00444B53">
    <w:pPr>
      <w:pStyle w:val="Footer"/>
      <w:tabs>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38" w:rsidRDefault="00196038" w:rsidP="006716CA">
      <w:r>
        <w:separator/>
      </w:r>
    </w:p>
  </w:footnote>
  <w:footnote w:type="continuationSeparator" w:id="0">
    <w:p w:rsidR="00196038" w:rsidRDefault="00196038" w:rsidP="00671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C4D"/>
    <w:multiLevelType w:val="hybridMultilevel"/>
    <w:tmpl w:val="62A83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BAF"/>
    <w:multiLevelType w:val="hybridMultilevel"/>
    <w:tmpl w:val="1FDC814E"/>
    <w:lvl w:ilvl="0" w:tplc="476680A0">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4124E"/>
    <w:multiLevelType w:val="hybridMultilevel"/>
    <w:tmpl w:val="F5124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1CD1"/>
    <w:multiLevelType w:val="hybridMultilevel"/>
    <w:tmpl w:val="F54C1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D7020"/>
    <w:multiLevelType w:val="hybridMultilevel"/>
    <w:tmpl w:val="74E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D93DA0"/>
    <w:multiLevelType w:val="hybridMultilevel"/>
    <w:tmpl w:val="C6008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77A31"/>
    <w:multiLevelType w:val="hybridMultilevel"/>
    <w:tmpl w:val="3FF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05EA7"/>
    <w:multiLevelType w:val="hybridMultilevel"/>
    <w:tmpl w:val="0CB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610E"/>
    <w:multiLevelType w:val="hybridMultilevel"/>
    <w:tmpl w:val="309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B570B"/>
    <w:multiLevelType w:val="hybridMultilevel"/>
    <w:tmpl w:val="F894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9C6342"/>
    <w:multiLevelType w:val="hybridMultilevel"/>
    <w:tmpl w:val="EB92E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00E5E"/>
    <w:multiLevelType w:val="hybridMultilevel"/>
    <w:tmpl w:val="EA044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3941F1"/>
    <w:multiLevelType w:val="hybridMultilevel"/>
    <w:tmpl w:val="ED3E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7E4A26"/>
    <w:multiLevelType w:val="hybridMultilevel"/>
    <w:tmpl w:val="1CA2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E07F3"/>
    <w:multiLevelType w:val="hybridMultilevel"/>
    <w:tmpl w:val="232E0D36"/>
    <w:lvl w:ilvl="0" w:tplc="C2EA4792">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0A2C87"/>
    <w:multiLevelType w:val="hybridMultilevel"/>
    <w:tmpl w:val="00B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75806"/>
    <w:multiLevelType w:val="hybridMultilevel"/>
    <w:tmpl w:val="909ADD2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46965"/>
    <w:multiLevelType w:val="hybridMultilevel"/>
    <w:tmpl w:val="33D6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B813EA"/>
    <w:multiLevelType w:val="hybridMultilevel"/>
    <w:tmpl w:val="AA7C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26AF0"/>
    <w:multiLevelType w:val="hybridMultilevel"/>
    <w:tmpl w:val="6DBA13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C0743"/>
    <w:multiLevelType w:val="hybridMultilevel"/>
    <w:tmpl w:val="A48C0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7"/>
  </w:num>
  <w:num w:numId="5">
    <w:abstractNumId w:val="6"/>
  </w:num>
  <w:num w:numId="6">
    <w:abstractNumId w:val="17"/>
  </w:num>
  <w:num w:numId="7">
    <w:abstractNumId w:val="15"/>
  </w:num>
  <w:num w:numId="8">
    <w:abstractNumId w:val="9"/>
  </w:num>
  <w:num w:numId="9">
    <w:abstractNumId w:val="4"/>
  </w:num>
  <w:num w:numId="10">
    <w:abstractNumId w:val="12"/>
  </w:num>
  <w:num w:numId="11">
    <w:abstractNumId w:val="1"/>
  </w:num>
  <w:num w:numId="12">
    <w:abstractNumId w:val="14"/>
  </w:num>
  <w:num w:numId="13">
    <w:abstractNumId w:val="20"/>
  </w:num>
  <w:num w:numId="14">
    <w:abstractNumId w:val="10"/>
  </w:num>
  <w:num w:numId="15">
    <w:abstractNumId w:val="5"/>
  </w:num>
  <w:num w:numId="16">
    <w:abstractNumId w:val="11"/>
  </w:num>
  <w:num w:numId="17">
    <w:abstractNumId w:val="3"/>
  </w:num>
  <w:num w:numId="18">
    <w:abstractNumId w:val="16"/>
  </w:num>
  <w:num w:numId="19">
    <w:abstractNumId w:val="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66"/>
    <w:rsid w:val="00012703"/>
    <w:rsid w:val="0001401B"/>
    <w:rsid w:val="000303E2"/>
    <w:rsid w:val="00036733"/>
    <w:rsid w:val="00046C2C"/>
    <w:rsid w:val="00051B0D"/>
    <w:rsid w:val="00053DF5"/>
    <w:rsid w:val="000608EE"/>
    <w:rsid w:val="000A052D"/>
    <w:rsid w:val="000A4095"/>
    <w:rsid w:val="000A5A3A"/>
    <w:rsid w:val="000C5148"/>
    <w:rsid w:val="000D13E1"/>
    <w:rsid w:val="000D6A3F"/>
    <w:rsid w:val="000D75A3"/>
    <w:rsid w:val="000E0FDE"/>
    <w:rsid w:val="000F42EB"/>
    <w:rsid w:val="000F4E12"/>
    <w:rsid w:val="00121628"/>
    <w:rsid w:val="00135E70"/>
    <w:rsid w:val="00144B4E"/>
    <w:rsid w:val="00144CB8"/>
    <w:rsid w:val="001473BD"/>
    <w:rsid w:val="00151C46"/>
    <w:rsid w:val="00151EF7"/>
    <w:rsid w:val="00172F00"/>
    <w:rsid w:val="0018502D"/>
    <w:rsid w:val="00186706"/>
    <w:rsid w:val="00196038"/>
    <w:rsid w:val="001D2DE6"/>
    <w:rsid w:val="00206F6F"/>
    <w:rsid w:val="00214DD7"/>
    <w:rsid w:val="00224DED"/>
    <w:rsid w:val="00236DD1"/>
    <w:rsid w:val="002423DA"/>
    <w:rsid w:val="00262618"/>
    <w:rsid w:val="00266B1E"/>
    <w:rsid w:val="00276881"/>
    <w:rsid w:val="00281B01"/>
    <w:rsid w:val="002965B1"/>
    <w:rsid w:val="002A7256"/>
    <w:rsid w:val="002C4B35"/>
    <w:rsid w:val="002F2ACD"/>
    <w:rsid w:val="00316823"/>
    <w:rsid w:val="003219B6"/>
    <w:rsid w:val="003233DB"/>
    <w:rsid w:val="00330034"/>
    <w:rsid w:val="00331E47"/>
    <w:rsid w:val="00335A55"/>
    <w:rsid w:val="003C19F2"/>
    <w:rsid w:val="003E42E6"/>
    <w:rsid w:val="00407287"/>
    <w:rsid w:val="004124A5"/>
    <w:rsid w:val="00412677"/>
    <w:rsid w:val="00416D5C"/>
    <w:rsid w:val="00423C53"/>
    <w:rsid w:val="004326BE"/>
    <w:rsid w:val="004403F3"/>
    <w:rsid w:val="00444B53"/>
    <w:rsid w:val="0046388A"/>
    <w:rsid w:val="004A7D39"/>
    <w:rsid w:val="004C2654"/>
    <w:rsid w:val="004D32FB"/>
    <w:rsid w:val="004D5813"/>
    <w:rsid w:val="00512CD2"/>
    <w:rsid w:val="005153EF"/>
    <w:rsid w:val="005234AC"/>
    <w:rsid w:val="005252E1"/>
    <w:rsid w:val="00527692"/>
    <w:rsid w:val="00544DE0"/>
    <w:rsid w:val="005470AA"/>
    <w:rsid w:val="00555CB7"/>
    <w:rsid w:val="00567186"/>
    <w:rsid w:val="005714E7"/>
    <w:rsid w:val="00571650"/>
    <w:rsid w:val="0059320E"/>
    <w:rsid w:val="005B23D0"/>
    <w:rsid w:val="005C16E3"/>
    <w:rsid w:val="005C6D1C"/>
    <w:rsid w:val="005F7A18"/>
    <w:rsid w:val="00607605"/>
    <w:rsid w:val="00617DFE"/>
    <w:rsid w:val="00623009"/>
    <w:rsid w:val="00623A21"/>
    <w:rsid w:val="00624744"/>
    <w:rsid w:val="00626837"/>
    <w:rsid w:val="00630A8B"/>
    <w:rsid w:val="00631C5D"/>
    <w:rsid w:val="006551DD"/>
    <w:rsid w:val="00660C66"/>
    <w:rsid w:val="00664D5F"/>
    <w:rsid w:val="006716CA"/>
    <w:rsid w:val="00687F3F"/>
    <w:rsid w:val="00692DC9"/>
    <w:rsid w:val="006B3DFE"/>
    <w:rsid w:val="006B5AE6"/>
    <w:rsid w:val="006D2BD4"/>
    <w:rsid w:val="006F263D"/>
    <w:rsid w:val="006F35C6"/>
    <w:rsid w:val="0071531B"/>
    <w:rsid w:val="00725CC5"/>
    <w:rsid w:val="00737E16"/>
    <w:rsid w:val="007450E2"/>
    <w:rsid w:val="00772D7B"/>
    <w:rsid w:val="007851B1"/>
    <w:rsid w:val="00786A23"/>
    <w:rsid w:val="00786C47"/>
    <w:rsid w:val="00792324"/>
    <w:rsid w:val="007B65F5"/>
    <w:rsid w:val="007F7998"/>
    <w:rsid w:val="00801E19"/>
    <w:rsid w:val="008029F6"/>
    <w:rsid w:val="0082536E"/>
    <w:rsid w:val="0084799B"/>
    <w:rsid w:val="008571DB"/>
    <w:rsid w:val="00881E1F"/>
    <w:rsid w:val="0088339A"/>
    <w:rsid w:val="0089764A"/>
    <w:rsid w:val="008B3E4B"/>
    <w:rsid w:val="008E09C7"/>
    <w:rsid w:val="008E7ED9"/>
    <w:rsid w:val="0090282C"/>
    <w:rsid w:val="00910FAE"/>
    <w:rsid w:val="00911165"/>
    <w:rsid w:val="0091670B"/>
    <w:rsid w:val="00922585"/>
    <w:rsid w:val="00947CF8"/>
    <w:rsid w:val="00955D63"/>
    <w:rsid w:val="00956D92"/>
    <w:rsid w:val="00960807"/>
    <w:rsid w:val="009669F4"/>
    <w:rsid w:val="009722DB"/>
    <w:rsid w:val="009728D1"/>
    <w:rsid w:val="00987A66"/>
    <w:rsid w:val="009E6C64"/>
    <w:rsid w:val="00A01D1C"/>
    <w:rsid w:val="00A0482D"/>
    <w:rsid w:val="00A04D50"/>
    <w:rsid w:val="00A14937"/>
    <w:rsid w:val="00A17522"/>
    <w:rsid w:val="00A25DB2"/>
    <w:rsid w:val="00A35747"/>
    <w:rsid w:val="00A46F06"/>
    <w:rsid w:val="00A54B37"/>
    <w:rsid w:val="00A62433"/>
    <w:rsid w:val="00A62DC9"/>
    <w:rsid w:val="00A94F96"/>
    <w:rsid w:val="00AA32C4"/>
    <w:rsid w:val="00AA751A"/>
    <w:rsid w:val="00AB1108"/>
    <w:rsid w:val="00AD1146"/>
    <w:rsid w:val="00AD5170"/>
    <w:rsid w:val="00AE5110"/>
    <w:rsid w:val="00AF7D39"/>
    <w:rsid w:val="00B01375"/>
    <w:rsid w:val="00B3203D"/>
    <w:rsid w:val="00B459A1"/>
    <w:rsid w:val="00B47F1B"/>
    <w:rsid w:val="00B50EF1"/>
    <w:rsid w:val="00B51F45"/>
    <w:rsid w:val="00B728E6"/>
    <w:rsid w:val="00B82A70"/>
    <w:rsid w:val="00B8533D"/>
    <w:rsid w:val="00B97E2C"/>
    <w:rsid w:val="00BA5B48"/>
    <w:rsid w:val="00BA5E97"/>
    <w:rsid w:val="00BB433B"/>
    <w:rsid w:val="00BC0087"/>
    <w:rsid w:val="00BD78E8"/>
    <w:rsid w:val="00C03D82"/>
    <w:rsid w:val="00C071CF"/>
    <w:rsid w:val="00C31651"/>
    <w:rsid w:val="00C3184B"/>
    <w:rsid w:val="00C34E53"/>
    <w:rsid w:val="00C36E26"/>
    <w:rsid w:val="00C44CA5"/>
    <w:rsid w:val="00C61F57"/>
    <w:rsid w:val="00C67D78"/>
    <w:rsid w:val="00C82002"/>
    <w:rsid w:val="00C83744"/>
    <w:rsid w:val="00CA28B1"/>
    <w:rsid w:val="00CB2D5B"/>
    <w:rsid w:val="00CC3A58"/>
    <w:rsid w:val="00CD5560"/>
    <w:rsid w:val="00CF67E6"/>
    <w:rsid w:val="00D00561"/>
    <w:rsid w:val="00D657BF"/>
    <w:rsid w:val="00D84E30"/>
    <w:rsid w:val="00D92A5A"/>
    <w:rsid w:val="00DA0829"/>
    <w:rsid w:val="00DB2C90"/>
    <w:rsid w:val="00DD3DF9"/>
    <w:rsid w:val="00DE15A7"/>
    <w:rsid w:val="00DE42B5"/>
    <w:rsid w:val="00DF729E"/>
    <w:rsid w:val="00E43101"/>
    <w:rsid w:val="00E45A6B"/>
    <w:rsid w:val="00E74720"/>
    <w:rsid w:val="00EC66D3"/>
    <w:rsid w:val="00ED58EE"/>
    <w:rsid w:val="00F017ED"/>
    <w:rsid w:val="00F06B21"/>
    <w:rsid w:val="00F3450B"/>
    <w:rsid w:val="00F51B68"/>
    <w:rsid w:val="00F71164"/>
    <w:rsid w:val="00F93B54"/>
    <w:rsid w:val="00FB0EC0"/>
    <w:rsid w:val="00FB2946"/>
    <w:rsid w:val="00FB3D15"/>
    <w:rsid w:val="00FB63A3"/>
    <w:rsid w:val="00FC2D2C"/>
    <w:rsid w:val="00FD014E"/>
    <w:rsid w:val="00FD7119"/>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E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E3"/>
    <w:rPr>
      <w:rFonts w:ascii="Tahoma" w:hAnsi="Tahoma" w:cs="Tahoma"/>
      <w:sz w:val="16"/>
      <w:szCs w:val="16"/>
    </w:rPr>
  </w:style>
  <w:style w:type="character" w:customStyle="1" w:styleId="BalloonTextChar">
    <w:name w:val="Balloon Text Char"/>
    <w:basedOn w:val="DefaultParagraphFont"/>
    <w:link w:val="BalloonText"/>
    <w:uiPriority w:val="99"/>
    <w:semiHidden/>
    <w:rsid w:val="005C16E3"/>
    <w:rPr>
      <w:rFonts w:ascii="Tahoma" w:hAnsi="Tahoma" w:cs="Tahoma"/>
      <w:sz w:val="16"/>
      <w:szCs w:val="16"/>
    </w:rPr>
  </w:style>
  <w:style w:type="character" w:styleId="Hyperlink">
    <w:name w:val="Hyperlink"/>
    <w:basedOn w:val="DefaultParagraphFont"/>
    <w:uiPriority w:val="99"/>
    <w:unhideWhenUsed/>
    <w:rsid w:val="005C16E3"/>
    <w:rPr>
      <w:color w:val="0000FF" w:themeColor="hyperlink"/>
      <w:u w:val="single"/>
    </w:rPr>
  </w:style>
  <w:style w:type="paragraph" w:styleId="ListParagraph">
    <w:name w:val="List Paragraph"/>
    <w:basedOn w:val="Normal"/>
    <w:uiPriority w:val="34"/>
    <w:qFormat/>
    <w:rsid w:val="00CD5560"/>
    <w:pPr>
      <w:ind w:left="720"/>
      <w:contextualSpacing/>
    </w:pPr>
  </w:style>
  <w:style w:type="paragraph" w:styleId="Header">
    <w:name w:val="header"/>
    <w:basedOn w:val="Normal"/>
    <w:link w:val="HeaderChar"/>
    <w:uiPriority w:val="99"/>
    <w:unhideWhenUsed/>
    <w:rsid w:val="006716CA"/>
    <w:pPr>
      <w:tabs>
        <w:tab w:val="center" w:pos="4680"/>
        <w:tab w:val="right" w:pos="9360"/>
      </w:tabs>
    </w:pPr>
  </w:style>
  <w:style w:type="character" w:customStyle="1" w:styleId="HeaderChar">
    <w:name w:val="Header Char"/>
    <w:basedOn w:val="DefaultParagraphFont"/>
    <w:link w:val="Header"/>
    <w:uiPriority w:val="99"/>
    <w:rsid w:val="006716CA"/>
  </w:style>
  <w:style w:type="paragraph" w:styleId="Footer">
    <w:name w:val="footer"/>
    <w:basedOn w:val="Normal"/>
    <w:link w:val="FooterChar"/>
    <w:uiPriority w:val="99"/>
    <w:unhideWhenUsed/>
    <w:rsid w:val="006716CA"/>
    <w:pPr>
      <w:tabs>
        <w:tab w:val="center" w:pos="4680"/>
        <w:tab w:val="right" w:pos="9360"/>
      </w:tabs>
    </w:pPr>
  </w:style>
  <w:style w:type="character" w:customStyle="1" w:styleId="FooterChar">
    <w:name w:val="Footer Char"/>
    <w:basedOn w:val="DefaultParagraphFont"/>
    <w:link w:val="Footer"/>
    <w:uiPriority w:val="99"/>
    <w:rsid w:val="006716CA"/>
  </w:style>
  <w:style w:type="paragraph" w:customStyle="1" w:styleId="Default">
    <w:name w:val="Default"/>
    <w:rsid w:val="00AF7D39"/>
    <w:pPr>
      <w:autoSpaceDE w:val="0"/>
      <w:autoSpaceDN w:val="0"/>
      <w:adjustRightInd w:val="0"/>
    </w:pPr>
    <w:rPr>
      <w:rFonts w:ascii="Times New Roman" w:hAnsi="Times New Roman" w:cs="Times New Roman"/>
      <w:color w:val="000000"/>
      <w:szCs w:val="24"/>
    </w:rPr>
  </w:style>
  <w:style w:type="character" w:customStyle="1" w:styleId="vallong1">
    <w:name w:val="vallong1"/>
    <w:basedOn w:val="DefaultParagraphFont"/>
    <w:rsid w:val="005714E7"/>
  </w:style>
  <w:style w:type="paragraph" w:styleId="PlainText">
    <w:name w:val="Plain Text"/>
    <w:basedOn w:val="Normal"/>
    <w:link w:val="PlainTextChar"/>
    <w:uiPriority w:val="99"/>
    <w:semiHidden/>
    <w:unhideWhenUsed/>
    <w:rsid w:val="00144B4E"/>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144B4E"/>
    <w:rPr>
      <w:rFonts w:ascii="Calibri" w:eastAsia="Times New Roman" w:hAnsi="Calibri" w:cs="Times New Roman"/>
      <w:sz w:val="22"/>
      <w:szCs w:val="21"/>
    </w:rPr>
  </w:style>
  <w:style w:type="paragraph" w:customStyle="1" w:styleId="gdp">
    <w:name w:val="gd_p"/>
    <w:basedOn w:val="Normal"/>
    <w:rsid w:val="005234AC"/>
    <w:pPr>
      <w:spacing w:before="100" w:beforeAutospacing="1" w:after="100" w:afterAutospacing="1"/>
    </w:pPr>
    <w:rPr>
      <w:rFonts w:ascii="Times New Roman" w:hAnsi="Times New Roman" w:cs="Times New Roman"/>
      <w:szCs w:val="24"/>
    </w:rPr>
  </w:style>
  <w:style w:type="paragraph" w:customStyle="1" w:styleId="Pa13">
    <w:name w:val="Pa13"/>
    <w:basedOn w:val="Normal"/>
    <w:next w:val="Normal"/>
    <w:uiPriority w:val="99"/>
    <w:rsid w:val="00FB2946"/>
    <w:pPr>
      <w:autoSpaceDE w:val="0"/>
      <w:autoSpaceDN w:val="0"/>
      <w:adjustRightInd w:val="0"/>
      <w:spacing w:line="281" w:lineRule="atLeast"/>
    </w:pPr>
    <w:rPr>
      <w:rFonts w:ascii="RotisSansSerif" w:hAnsi="RotisSansSerif"/>
      <w:szCs w:val="24"/>
    </w:rPr>
  </w:style>
  <w:style w:type="character" w:customStyle="1" w:styleId="A19">
    <w:name w:val="A19"/>
    <w:uiPriority w:val="99"/>
    <w:rsid w:val="00FB2946"/>
    <w:rPr>
      <w:rFonts w:ascii="RotisSansSerif ExtraBold" w:hAnsi="RotisSansSerif ExtraBold" w:cs="RotisSansSerif ExtraBold"/>
      <w:b/>
      <w:bCs/>
      <w:color w:val="000000"/>
      <w:sz w:val="26"/>
      <w:szCs w:val="26"/>
    </w:rPr>
  </w:style>
  <w:style w:type="table" w:styleId="TableGrid">
    <w:name w:val="Table Grid"/>
    <w:basedOn w:val="TableNormal"/>
    <w:uiPriority w:val="59"/>
    <w:rsid w:val="0014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A3A"/>
    <w:rPr>
      <w:b/>
      <w:bCs/>
    </w:rPr>
  </w:style>
  <w:style w:type="paragraph" w:styleId="Title">
    <w:name w:val="Title"/>
    <w:basedOn w:val="Normal"/>
    <w:next w:val="Normal"/>
    <w:link w:val="TitleChar"/>
    <w:uiPriority w:val="10"/>
    <w:qFormat/>
    <w:rsid w:val="00A25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D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E2C"/>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786A23"/>
    <w:rPr>
      <w:sz w:val="16"/>
      <w:szCs w:val="16"/>
    </w:rPr>
  </w:style>
  <w:style w:type="paragraph" w:styleId="CommentText">
    <w:name w:val="annotation text"/>
    <w:basedOn w:val="Normal"/>
    <w:link w:val="CommentTextChar"/>
    <w:uiPriority w:val="99"/>
    <w:semiHidden/>
    <w:unhideWhenUsed/>
    <w:rsid w:val="00786A23"/>
    <w:rPr>
      <w:sz w:val="20"/>
      <w:szCs w:val="20"/>
    </w:rPr>
  </w:style>
  <w:style w:type="character" w:customStyle="1" w:styleId="CommentTextChar">
    <w:name w:val="Comment Text Char"/>
    <w:basedOn w:val="DefaultParagraphFont"/>
    <w:link w:val="CommentText"/>
    <w:uiPriority w:val="99"/>
    <w:semiHidden/>
    <w:rsid w:val="00786A23"/>
    <w:rPr>
      <w:sz w:val="20"/>
      <w:szCs w:val="20"/>
    </w:rPr>
  </w:style>
  <w:style w:type="paragraph" w:styleId="CommentSubject">
    <w:name w:val="annotation subject"/>
    <w:basedOn w:val="CommentText"/>
    <w:next w:val="CommentText"/>
    <w:link w:val="CommentSubjectChar"/>
    <w:uiPriority w:val="99"/>
    <w:semiHidden/>
    <w:unhideWhenUsed/>
    <w:rsid w:val="00786A23"/>
    <w:rPr>
      <w:b/>
      <w:bCs/>
    </w:rPr>
  </w:style>
  <w:style w:type="character" w:customStyle="1" w:styleId="CommentSubjectChar">
    <w:name w:val="Comment Subject Char"/>
    <w:basedOn w:val="CommentTextChar"/>
    <w:link w:val="CommentSubject"/>
    <w:uiPriority w:val="99"/>
    <w:semiHidden/>
    <w:rsid w:val="00786A23"/>
    <w:rPr>
      <w:b/>
      <w:bCs/>
      <w:sz w:val="20"/>
      <w:szCs w:val="20"/>
    </w:rPr>
  </w:style>
  <w:style w:type="paragraph" w:styleId="NoSpacing">
    <w:name w:val="No Spacing"/>
    <w:link w:val="NoSpacingChar"/>
    <w:uiPriority w:val="1"/>
    <w:qFormat/>
    <w:rsid w:val="00444B53"/>
  </w:style>
  <w:style w:type="character" w:customStyle="1" w:styleId="NoSpacingChar">
    <w:name w:val="No Spacing Char"/>
    <w:basedOn w:val="DefaultParagraphFont"/>
    <w:link w:val="NoSpacing"/>
    <w:uiPriority w:val="1"/>
    <w:rsid w:val="00135E70"/>
  </w:style>
  <w:style w:type="paragraph" w:customStyle="1" w:styleId="538552DCBB0F4C4BB087ED922D6A6322">
    <w:name w:val="538552DCBB0F4C4BB087ED922D6A6322"/>
    <w:rsid w:val="00330034"/>
    <w:pPr>
      <w:spacing w:after="200" w:line="276" w:lineRule="auto"/>
    </w:pPr>
    <w:rPr>
      <w:rFonts w:asciiTheme="minorHAnsi" w:eastAsiaTheme="minorEastAsia" w:hAnsiTheme="minorHAnsi"/>
      <w:sz w:val="22"/>
      <w:lang w:eastAsia="ja-JP"/>
    </w:rPr>
  </w:style>
  <w:style w:type="character" w:styleId="FollowedHyperlink">
    <w:name w:val="FollowedHyperlink"/>
    <w:basedOn w:val="DefaultParagraphFont"/>
    <w:uiPriority w:val="99"/>
    <w:semiHidden/>
    <w:unhideWhenUsed/>
    <w:rsid w:val="00785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E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E3"/>
    <w:rPr>
      <w:rFonts w:ascii="Tahoma" w:hAnsi="Tahoma" w:cs="Tahoma"/>
      <w:sz w:val="16"/>
      <w:szCs w:val="16"/>
    </w:rPr>
  </w:style>
  <w:style w:type="character" w:customStyle="1" w:styleId="BalloonTextChar">
    <w:name w:val="Balloon Text Char"/>
    <w:basedOn w:val="DefaultParagraphFont"/>
    <w:link w:val="BalloonText"/>
    <w:uiPriority w:val="99"/>
    <w:semiHidden/>
    <w:rsid w:val="005C16E3"/>
    <w:rPr>
      <w:rFonts w:ascii="Tahoma" w:hAnsi="Tahoma" w:cs="Tahoma"/>
      <w:sz w:val="16"/>
      <w:szCs w:val="16"/>
    </w:rPr>
  </w:style>
  <w:style w:type="character" w:styleId="Hyperlink">
    <w:name w:val="Hyperlink"/>
    <w:basedOn w:val="DefaultParagraphFont"/>
    <w:uiPriority w:val="99"/>
    <w:unhideWhenUsed/>
    <w:rsid w:val="005C16E3"/>
    <w:rPr>
      <w:color w:val="0000FF" w:themeColor="hyperlink"/>
      <w:u w:val="single"/>
    </w:rPr>
  </w:style>
  <w:style w:type="paragraph" w:styleId="ListParagraph">
    <w:name w:val="List Paragraph"/>
    <w:basedOn w:val="Normal"/>
    <w:uiPriority w:val="34"/>
    <w:qFormat/>
    <w:rsid w:val="00CD5560"/>
    <w:pPr>
      <w:ind w:left="720"/>
      <w:contextualSpacing/>
    </w:pPr>
  </w:style>
  <w:style w:type="paragraph" w:styleId="Header">
    <w:name w:val="header"/>
    <w:basedOn w:val="Normal"/>
    <w:link w:val="HeaderChar"/>
    <w:uiPriority w:val="99"/>
    <w:unhideWhenUsed/>
    <w:rsid w:val="006716CA"/>
    <w:pPr>
      <w:tabs>
        <w:tab w:val="center" w:pos="4680"/>
        <w:tab w:val="right" w:pos="9360"/>
      </w:tabs>
    </w:pPr>
  </w:style>
  <w:style w:type="character" w:customStyle="1" w:styleId="HeaderChar">
    <w:name w:val="Header Char"/>
    <w:basedOn w:val="DefaultParagraphFont"/>
    <w:link w:val="Header"/>
    <w:uiPriority w:val="99"/>
    <w:rsid w:val="006716CA"/>
  </w:style>
  <w:style w:type="paragraph" w:styleId="Footer">
    <w:name w:val="footer"/>
    <w:basedOn w:val="Normal"/>
    <w:link w:val="FooterChar"/>
    <w:uiPriority w:val="99"/>
    <w:unhideWhenUsed/>
    <w:rsid w:val="006716CA"/>
    <w:pPr>
      <w:tabs>
        <w:tab w:val="center" w:pos="4680"/>
        <w:tab w:val="right" w:pos="9360"/>
      </w:tabs>
    </w:pPr>
  </w:style>
  <w:style w:type="character" w:customStyle="1" w:styleId="FooterChar">
    <w:name w:val="Footer Char"/>
    <w:basedOn w:val="DefaultParagraphFont"/>
    <w:link w:val="Footer"/>
    <w:uiPriority w:val="99"/>
    <w:rsid w:val="006716CA"/>
  </w:style>
  <w:style w:type="paragraph" w:customStyle="1" w:styleId="Default">
    <w:name w:val="Default"/>
    <w:rsid w:val="00AF7D39"/>
    <w:pPr>
      <w:autoSpaceDE w:val="0"/>
      <w:autoSpaceDN w:val="0"/>
      <w:adjustRightInd w:val="0"/>
    </w:pPr>
    <w:rPr>
      <w:rFonts w:ascii="Times New Roman" w:hAnsi="Times New Roman" w:cs="Times New Roman"/>
      <w:color w:val="000000"/>
      <w:szCs w:val="24"/>
    </w:rPr>
  </w:style>
  <w:style w:type="character" w:customStyle="1" w:styleId="vallong1">
    <w:name w:val="vallong1"/>
    <w:basedOn w:val="DefaultParagraphFont"/>
    <w:rsid w:val="005714E7"/>
  </w:style>
  <w:style w:type="paragraph" w:styleId="PlainText">
    <w:name w:val="Plain Text"/>
    <w:basedOn w:val="Normal"/>
    <w:link w:val="PlainTextChar"/>
    <w:uiPriority w:val="99"/>
    <w:semiHidden/>
    <w:unhideWhenUsed/>
    <w:rsid w:val="00144B4E"/>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144B4E"/>
    <w:rPr>
      <w:rFonts w:ascii="Calibri" w:eastAsia="Times New Roman" w:hAnsi="Calibri" w:cs="Times New Roman"/>
      <w:sz w:val="22"/>
      <w:szCs w:val="21"/>
    </w:rPr>
  </w:style>
  <w:style w:type="paragraph" w:customStyle="1" w:styleId="gdp">
    <w:name w:val="gd_p"/>
    <w:basedOn w:val="Normal"/>
    <w:rsid w:val="005234AC"/>
    <w:pPr>
      <w:spacing w:before="100" w:beforeAutospacing="1" w:after="100" w:afterAutospacing="1"/>
    </w:pPr>
    <w:rPr>
      <w:rFonts w:ascii="Times New Roman" w:hAnsi="Times New Roman" w:cs="Times New Roman"/>
      <w:szCs w:val="24"/>
    </w:rPr>
  </w:style>
  <w:style w:type="paragraph" w:customStyle="1" w:styleId="Pa13">
    <w:name w:val="Pa13"/>
    <w:basedOn w:val="Normal"/>
    <w:next w:val="Normal"/>
    <w:uiPriority w:val="99"/>
    <w:rsid w:val="00FB2946"/>
    <w:pPr>
      <w:autoSpaceDE w:val="0"/>
      <w:autoSpaceDN w:val="0"/>
      <w:adjustRightInd w:val="0"/>
      <w:spacing w:line="281" w:lineRule="atLeast"/>
    </w:pPr>
    <w:rPr>
      <w:rFonts w:ascii="RotisSansSerif" w:hAnsi="RotisSansSerif"/>
      <w:szCs w:val="24"/>
    </w:rPr>
  </w:style>
  <w:style w:type="character" w:customStyle="1" w:styleId="A19">
    <w:name w:val="A19"/>
    <w:uiPriority w:val="99"/>
    <w:rsid w:val="00FB2946"/>
    <w:rPr>
      <w:rFonts w:ascii="RotisSansSerif ExtraBold" w:hAnsi="RotisSansSerif ExtraBold" w:cs="RotisSansSerif ExtraBold"/>
      <w:b/>
      <w:bCs/>
      <w:color w:val="000000"/>
      <w:sz w:val="26"/>
      <w:szCs w:val="26"/>
    </w:rPr>
  </w:style>
  <w:style w:type="table" w:styleId="TableGrid">
    <w:name w:val="Table Grid"/>
    <w:basedOn w:val="TableNormal"/>
    <w:uiPriority w:val="59"/>
    <w:rsid w:val="0014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A3A"/>
    <w:rPr>
      <w:b/>
      <w:bCs/>
    </w:rPr>
  </w:style>
  <w:style w:type="paragraph" w:styleId="Title">
    <w:name w:val="Title"/>
    <w:basedOn w:val="Normal"/>
    <w:next w:val="Normal"/>
    <w:link w:val="TitleChar"/>
    <w:uiPriority w:val="10"/>
    <w:qFormat/>
    <w:rsid w:val="00A25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D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E2C"/>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786A23"/>
    <w:rPr>
      <w:sz w:val="16"/>
      <w:szCs w:val="16"/>
    </w:rPr>
  </w:style>
  <w:style w:type="paragraph" w:styleId="CommentText">
    <w:name w:val="annotation text"/>
    <w:basedOn w:val="Normal"/>
    <w:link w:val="CommentTextChar"/>
    <w:uiPriority w:val="99"/>
    <w:semiHidden/>
    <w:unhideWhenUsed/>
    <w:rsid w:val="00786A23"/>
    <w:rPr>
      <w:sz w:val="20"/>
      <w:szCs w:val="20"/>
    </w:rPr>
  </w:style>
  <w:style w:type="character" w:customStyle="1" w:styleId="CommentTextChar">
    <w:name w:val="Comment Text Char"/>
    <w:basedOn w:val="DefaultParagraphFont"/>
    <w:link w:val="CommentText"/>
    <w:uiPriority w:val="99"/>
    <w:semiHidden/>
    <w:rsid w:val="00786A23"/>
    <w:rPr>
      <w:sz w:val="20"/>
      <w:szCs w:val="20"/>
    </w:rPr>
  </w:style>
  <w:style w:type="paragraph" w:styleId="CommentSubject">
    <w:name w:val="annotation subject"/>
    <w:basedOn w:val="CommentText"/>
    <w:next w:val="CommentText"/>
    <w:link w:val="CommentSubjectChar"/>
    <w:uiPriority w:val="99"/>
    <w:semiHidden/>
    <w:unhideWhenUsed/>
    <w:rsid w:val="00786A23"/>
    <w:rPr>
      <w:b/>
      <w:bCs/>
    </w:rPr>
  </w:style>
  <w:style w:type="character" w:customStyle="1" w:styleId="CommentSubjectChar">
    <w:name w:val="Comment Subject Char"/>
    <w:basedOn w:val="CommentTextChar"/>
    <w:link w:val="CommentSubject"/>
    <w:uiPriority w:val="99"/>
    <w:semiHidden/>
    <w:rsid w:val="00786A23"/>
    <w:rPr>
      <w:b/>
      <w:bCs/>
      <w:sz w:val="20"/>
      <w:szCs w:val="20"/>
    </w:rPr>
  </w:style>
  <w:style w:type="paragraph" w:styleId="NoSpacing">
    <w:name w:val="No Spacing"/>
    <w:link w:val="NoSpacingChar"/>
    <w:uiPriority w:val="1"/>
    <w:qFormat/>
    <w:rsid w:val="00444B53"/>
  </w:style>
  <w:style w:type="character" w:customStyle="1" w:styleId="NoSpacingChar">
    <w:name w:val="No Spacing Char"/>
    <w:basedOn w:val="DefaultParagraphFont"/>
    <w:link w:val="NoSpacing"/>
    <w:uiPriority w:val="1"/>
    <w:rsid w:val="00135E70"/>
  </w:style>
  <w:style w:type="paragraph" w:customStyle="1" w:styleId="538552DCBB0F4C4BB087ED922D6A6322">
    <w:name w:val="538552DCBB0F4C4BB087ED922D6A6322"/>
    <w:rsid w:val="00330034"/>
    <w:pPr>
      <w:spacing w:after="200" w:line="276" w:lineRule="auto"/>
    </w:pPr>
    <w:rPr>
      <w:rFonts w:asciiTheme="minorHAnsi" w:eastAsiaTheme="minorEastAsia" w:hAnsiTheme="minorHAnsi"/>
      <w:sz w:val="22"/>
      <w:lang w:eastAsia="ja-JP"/>
    </w:rPr>
  </w:style>
  <w:style w:type="character" w:styleId="FollowedHyperlink">
    <w:name w:val="FollowedHyperlink"/>
    <w:basedOn w:val="DefaultParagraphFont"/>
    <w:uiPriority w:val="99"/>
    <w:semiHidden/>
    <w:unhideWhenUsed/>
    <w:rsid w:val="00785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083">
      <w:bodyDiv w:val="1"/>
      <w:marLeft w:val="0"/>
      <w:marRight w:val="0"/>
      <w:marTop w:val="0"/>
      <w:marBottom w:val="0"/>
      <w:divBdr>
        <w:top w:val="none" w:sz="0" w:space="0" w:color="auto"/>
        <w:left w:val="none" w:sz="0" w:space="0" w:color="auto"/>
        <w:bottom w:val="none" w:sz="0" w:space="0" w:color="auto"/>
        <w:right w:val="none" w:sz="0" w:space="0" w:color="auto"/>
      </w:divBdr>
    </w:div>
    <w:div w:id="850224100">
      <w:bodyDiv w:val="1"/>
      <w:marLeft w:val="0"/>
      <w:marRight w:val="0"/>
      <w:marTop w:val="0"/>
      <w:marBottom w:val="0"/>
      <w:divBdr>
        <w:top w:val="none" w:sz="0" w:space="0" w:color="auto"/>
        <w:left w:val="none" w:sz="0" w:space="0" w:color="auto"/>
        <w:bottom w:val="none" w:sz="0" w:space="0" w:color="auto"/>
        <w:right w:val="none" w:sz="0" w:space="0" w:color="auto"/>
      </w:divBdr>
    </w:div>
    <w:div w:id="903681292">
      <w:bodyDiv w:val="1"/>
      <w:marLeft w:val="0"/>
      <w:marRight w:val="0"/>
      <w:marTop w:val="0"/>
      <w:marBottom w:val="0"/>
      <w:divBdr>
        <w:top w:val="none" w:sz="0" w:space="0" w:color="auto"/>
        <w:left w:val="none" w:sz="0" w:space="0" w:color="auto"/>
        <w:bottom w:val="none" w:sz="0" w:space="0" w:color="auto"/>
        <w:right w:val="none" w:sz="0" w:space="0" w:color="auto"/>
      </w:divBdr>
    </w:div>
    <w:div w:id="1147552874">
      <w:bodyDiv w:val="1"/>
      <w:marLeft w:val="0"/>
      <w:marRight w:val="0"/>
      <w:marTop w:val="0"/>
      <w:marBottom w:val="0"/>
      <w:divBdr>
        <w:top w:val="none" w:sz="0" w:space="0" w:color="auto"/>
        <w:left w:val="none" w:sz="0" w:space="0" w:color="auto"/>
        <w:bottom w:val="none" w:sz="0" w:space="0" w:color="auto"/>
        <w:right w:val="none" w:sz="0" w:space="0" w:color="auto"/>
      </w:divBdr>
    </w:div>
    <w:div w:id="17355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ca.gov/fg/aa/lc/" TargetMode="External"/><Relationship Id="rId7" Type="http://schemas.openxmlformats.org/officeDocument/2006/relationships/footnotes" Target="footnotes.xml"/><Relationship Id="rId12" Type="http://schemas.openxmlformats.org/officeDocument/2006/relationships/hyperlink" Target="mailto:cte@cde.ca.gov"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yperlink" Target="mailto:cte@cde.ca.gov" TargetMode="External"/><Relationship Id="rId5" Type="http://schemas.openxmlformats.org/officeDocument/2006/relationships/settings" Target="settings.xml"/><Relationship Id="rId15" Type="http://schemas.openxmlformats.org/officeDocument/2006/relationships/hyperlink" Target="http://www.cde.ca.gov/ci/ct/" TargetMode="External"/><Relationship Id="rId23" Type="http://schemas.openxmlformats.org/officeDocument/2006/relationships/hyperlink" Target="http://www.cde.ca.gov/ci/ct/" TargetMode="External"/><Relationship Id="rId10" Type="http://schemas.openxmlformats.org/officeDocument/2006/relationships/hyperlink" Target="mailto:cte@cde.ca.gov"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a:spPr>
      <a:bodyPr rot="0" vert="horz" wrap="square" lIns="274320" tIns="274320" rIns="274320" bIns="2743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Dav11</b:Tag>
    <b:SourceType>Report</b:SourceType>
    <b:Guid>{42347CFF-624A-4058-A940-8C4DA865A331}</b:Guid>
    <b:Title>Profile of the California Partnership Academies 2009-10</b:Title>
    <b:Year>2011</b:Year>
    <b:City>Berkeley</b:City>
    <b:Publisher>University of California</b:Publisher>
    <b:Author>
      <b:Author>
        <b:NameList>
          <b:Person>
            <b:Last>Stern</b:Last>
            <b:First>David</b:First>
          </b:Person>
        </b:NameList>
      </b:Author>
    </b:Author>
    <b:RefOrder>1</b:RefOrder>
  </b:Source>
</b:Sources>
</file>

<file path=customXml/itemProps1.xml><?xml version="1.0" encoding="utf-8"?>
<ds:datastoreItem xmlns:ds="http://schemas.openxmlformats.org/officeDocument/2006/customXml" ds:itemID="{9016FE19-FA48-415B-9C70-F30829A9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 Employee</dc:creator>
  <cp:lastModifiedBy>Administrator</cp:lastModifiedBy>
  <cp:revision>2</cp:revision>
  <cp:lastPrinted>2014-02-12T19:38:00Z</cp:lastPrinted>
  <dcterms:created xsi:type="dcterms:W3CDTF">2014-10-30T16:24:00Z</dcterms:created>
  <dcterms:modified xsi:type="dcterms:W3CDTF">2014-10-30T16:24:00Z</dcterms:modified>
</cp:coreProperties>
</file>